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B86F1" w14:textId="77777777" w:rsidR="008B0E6A" w:rsidRDefault="008B0E6A" w:rsidP="00D5190F">
      <w:pPr>
        <w:spacing w:line="360" w:lineRule="exact"/>
        <w:contextualSpacing/>
        <w:jc w:val="both"/>
        <w:rPr>
          <w:rFonts w:ascii="Tahoma" w:hAnsi="Tahoma" w:cs="Tahoma"/>
          <w:b/>
          <w:bCs/>
          <w:sz w:val="28"/>
          <w:szCs w:val="28"/>
        </w:rPr>
      </w:pPr>
      <w:r w:rsidRPr="008B0E6A">
        <w:rPr>
          <w:rFonts w:ascii="Tahoma" w:hAnsi="Tahoma" w:cs="Tahoma"/>
          <w:b/>
          <w:bCs/>
          <w:sz w:val="28"/>
          <w:szCs w:val="28"/>
        </w:rPr>
        <w:t>Integrative Omics Analysis Reveals DTX1 as a Key Marker and Drug Target in Breast Cancer</w:t>
      </w:r>
    </w:p>
    <w:p w14:paraId="3A3EA47F" w14:textId="424E8470" w:rsidR="00C145FA" w:rsidRPr="00E760E8" w:rsidRDefault="00C145FA" w:rsidP="00D5190F">
      <w:pPr>
        <w:spacing w:line="360" w:lineRule="exact"/>
        <w:contextualSpacing/>
        <w:jc w:val="both"/>
        <w:rPr>
          <w:rFonts w:ascii="Tahoma" w:hAnsi="Tahoma" w:cs="Tahoma"/>
          <w:sz w:val="22"/>
        </w:rPr>
      </w:pPr>
      <w:r w:rsidRPr="00E760E8">
        <w:rPr>
          <w:rFonts w:ascii="Tahoma" w:hAnsi="Tahoma" w:cs="Tahoma"/>
          <w:sz w:val="22"/>
        </w:rPr>
        <w:t xml:space="preserve">Yen-Dun Tony Tzeng </w:t>
      </w:r>
      <w:r w:rsidRPr="00E760E8">
        <w:rPr>
          <w:rFonts w:ascii="Tahoma" w:hAnsi="Tahoma" w:cs="Tahoma"/>
          <w:sz w:val="22"/>
          <w:vertAlign w:val="superscript"/>
        </w:rPr>
        <w:t xml:space="preserve">1 </w:t>
      </w:r>
      <w:r w:rsidRPr="00E760E8">
        <w:rPr>
          <w:rFonts w:ascii="Tahoma" w:hAnsi="Tahoma" w:cs="Tahoma"/>
          <w:sz w:val="22"/>
        </w:rPr>
        <w:t>(</w:t>
      </w:r>
      <w:r w:rsidRPr="00E760E8">
        <w:rPr>
          <w:rFonts w:ascii="Tahoma" w:hAnsi="Tahoma" w:cs="Tahoma"/>
          <w:sz w:val="22"/>
        </w:rPr>
        <w:t>曾彥敦</w:t>
      </w:r>
      <w:r w:rsidRPr="00E760E8">
        <w:rPr>
          <w:rFonts w:ascii="Tahoma" w:hAnsi="Tahoma" w:cs="Tahoma"/>
          <w:sz w:val="22"/>
        </w:rPr>
        <w:t xml:space="preserve">) , Ming-Feng Hou </w:t>
      </w:r>
      <w:r w:rsidR="00621730">
        <w:rPr>
          <w:rFonts w:ascii="Tahoma" w:hAnsi="Tahoma" w:cs="Tahoma" w:hint="eastAsia"/>
          <w:sz w:val="22"/>
          <w:vertAlign w:val="superscript"/>
        </w:rPr>
        <w:t>2</w:t>
      </w:r>
      <w:r w:rsidRPr="00E760E8">
        <w:rPr>
          <w:rFonts w:ascii="Tahoma" w:hAnsi="Tahoma" w:cs="Tahoma"/>
          <w:sz w:val="22"/>
          <w:vertAlign w:val="superscript"/>
        </w:rPr>
        <w:t xml:space="preserve"> </w:t>
      </w:r>
      <w:r w:rsidRPr="00E760E8">
        <w:rPr>
          <w:rFonts w:ascii="Tahoma" w:hAnsi="Tahoma" w:cs="Tahoma"/>
          <w:sz w:val="22"/>
        </w:rPr>
        <w:t>(</w:t>
      </w:r>
      <w:r w:rsidRPr="00E760E8">
        <w:rPr>
          <w:rFonts w:ascii="Tahoma" w:hAnsi="Tahoma" w:cs="Tahoma"/>
          <w:sz w:val="22"/>
        </w:rPr>
        <w:t>侯明鋒</w:t>
      </w:r>
      <w:r w:rsidRPr="00E760E8">
        <w:rPr>
          <w:rFonts w:ascii="Tahoma" w:hAnsi="Tahoma" w:cs="Tahoma"/>
          <w:sz w:val="22"/>
        </w:rPr>
        <w:t xml:space="preserve">) Ling- Ming Tseng </w:t>
      </w:r>
      <w:r w:rsidR="00621730">
        <w:rPr>
          <w:rFonts w:ascii="Tahoma" w:hAnsi="Tahoma" w:cs="Tahoma" w:hint="eastAsia"/>
          <w:sz w:val="22"/>
          <w:vertAlign w:val="superscript"/>
        </w:rPr>
        <w:t>3</w:t>
      </w:r>
      <w:r w:rsidR="00E760E8" w:rsidRPr="00E760E8">
        <w:rPr>
          <w:rFonts w:ascii="Tahoma" w:hAnsi="Tahoma" w:cs="Tahoma"/>
          <w:sz w:val="22"/>
        </w:rPr>
        <w:t>(</w:t>
      </w:r>
      <w:r w:rsidR="00E760E8" w:rsidRPr="00E760E8">
        <w:rPr>
          <w:rFonts w:ascii="Tahoma" w:hAnsi="Tahoma" w:cs="Tahoma"/>
          <w:sz w:val="22"/>
        </w:rPr>
        <w:t>曾令民</w:t>
      </w:r>
      <w:r w:rsidR="00E760E8" w:rsidRPr="00E760E8">
        <w:rPr>
          <w:rFonts w:ascii="Tahoma" w:hAnsi="Tahoma" w:cs="Tahoma"/>
          <w:sz w:val="22"/>
        </w:rPr>
        <w:t>)</w:t>
      </w:r>
      <w:r w:rsidR="00621730" w:rsidRPr="00621730">
        <w:rPr>
          <w:rFonts w:ascii="Tahoma" w:hAnsi="Tahoma" w:cs="Tahoma"/>
          <w:sz w:val="22"/>
        </w:rPr>
        <w:t xml:space="preserve"> </w:t>
      </w:r>
      <w:r w:rsidR="00621730" w:rsidRPr="00E760E8">
        <w:rPr>
          <w:rFonts w:ascii="Tahoma" w:hAnsi="Tahoma" w:cs="Tahoma"/>
          <w:sz w:val="22"/>
        </w:rPr>
        <w:t>,</w:t>
      </w:r>
      <w:r w:rsidR="00621730" w:rsidRPr="00621730">
        <w:rPr>
          <w:rFonts w:ascii="Tahoma" w:hAnsi="Tahoma" w:cs="Tahoma"/>
          <w:sz w:val="22"/>
        </w:rPr>
        <w:t xml:space="preserve"> </w:t>
      </w:r>
      <w:r w:rsidR="00621730" w:rsidRPr="00E760E8">
        <w:rPr>
          <w:rFonts w:ascii="Tahoma" w:hAnsi="Tahoma" w:cs="Tahoma"/>
          <w:sz w:val="22"/>
        </w:rPr>
        <w:t xml:space="preserve">Chia-Jung Li </w:t>
      </w:r>
      <w:r w:rsidR="00621730">
        <w:rPr>
          <w:rFonts w:ascii="Tahoma" w:hAnsi="Tahoma" w:cs="Tahoma" w:hint="eastAsia"/>
          <w:sz w:val="22"/>
          <w:vertAlign w:val="superscript"/>
        </w:rPr>
        <w:t>4</w:t>
      </w:r>
      <w:r w:rsidR="00621730" w:rsidRPr="00E760E8">
        <w:rPr>
          <w:rFonts w:ascii="Tahoma" w:hAnsi="Tahoma" w:cs="Tahoma"/>
          <w:sz w:val="22"/>
          <w:vertAlign w:val="superscript"/>
        </w:rPr>
        <w:t xml:space="preserve"> </w:t>
      </w:r>
      <w:r w:rsidR="00621730" w:rsidRPr="00E760E8">
        <w:rPr>
          <w:rFonts w:ascii="Tahoma" w:hAnsi="Tahoma" w:cs="Tahoma"/>
          <w:sz w:val="22"/>
        </w:rPr>
        <w:t>(</w:t>
      </w:r>
      <w:r w:rsidR="00621730" w:rsidRPr="00E760E8">
        <w:rPr>
          <w:rFonts w:ascii="Tahoma" w:hAnsi="Tahoma" w:cs="Tahoma"/>
          <w:sz w:val="22"/>
        </w:rPr>
        <w:t>李佳榮</w:t>
      </w:r>
      <w:r w:rsidR="00621730" w:rsidRPr="00E760E8">
        <w:rPr>
          <w:rFonts w:ascii="Tahoma" w:hAnsi="Tahoma" w:cs="Tahoma"/>
          <w:sz w:val="22"/>
        </w:rPr>
        <w:t>)</w:t>
      </w:r>
    </w:p>
    <w:p w14:paraId="30E5DC91" w14:textId="53DBE1A4" w:rsidR="00C145FA" w:rsidRPr="00E760E8" w:rsidRDefault="00C145FA" w:rsidP="00D5190F">
      <w:pPr>
        <w:spacing w:line="360" w:lineRule="exact"/>
        <w:contextualSpacing/>
        <w:jc w:val="both"/>
        <w:rPr>
          <w:rFonts w:ascii="Tahoma" w:hAnsi="Tahoma" w:cs="Tahoma"/>
          <w:sz w:val="22"/>
        </w:rPr>
      </w:pPr>
      <w:r w:rsidRPr="00E760E8">
        <w:rPr>
          <w:rFonts w:ascii="Tahoma" w:hAnsi="Tahoma" w:cs="Tahoma"/>
          <w:sz w:val="22"/>
        </w:rPr>
        <w:t xml:space="preserve">1 Department of Surgery, Kaohsiung Veterans General Hospital, Kaohsiung, </w:t>
      </w:r>
      <w:proofErr w:type="gramStart"/>
      <w:r w:rsidRPr="00E760E8">
        <w:rPr>
          <w:rFonts w:ascii="Tahoma" w:hAnsi="Tahoma" w:cs="Tahoma"/>
          <w:sz w:val="22"/>
        </w:rPr>
        <w:t>Taiwan;</w:t>
      </w:r>
      <w:proofErr w:type="gramEnd"/>
    </w:p>
    <w:p w14:paraId="0E575235" w14:textId="3455FA22" w:rsidR="00C145FA" w:rsidRPr="00E760E8" w:rsidRDefault="00621730" w:rsidP="00D5190F">
      <w:pPr>
        <w:spacing w:line="360" w:lineRule="exact"/>
        <w:contextualSpacing/>
        <w:jc w:val="both"/>
        <w:rPr>
          <w:rFonts w:ascii="Tahoma" w:hAnsi="Tahoma" w:cs="Tahoma"/>
          <w:sz w:val="22"/>
        </w:rPr>
      </w:pPr>
      <w:r>
        <w:rPr>
          <w:rFonts w:ascii="Tahoma" w:hAnsi="Tahoma" w:cs="Tahoma" w:hint="eastAsia"/>
          <w:sz w:val="22"/>
        </w:rPr>
        <w:t>2</w:t>
      </w:r>
      <w:r w:rsidR="00C145FA" w:rsidRPr="00E760E8">
        <w:rPr>
          <w:rFonts w:ascii="Tahoma" w:hAnsi="Tahoma" w:cs="Tahoma"/>
          <w:sz w:val="22"/>
        </w:rPr>
        <w:t xml:space="preserve"> Division of Breast Surgery, Department of Surgery; Center for Cancer Research, Kaohsiung Medical University Chung-Ho Memorial Hospital, Kaohsiung, </w:t>
      </w:r>
      <w:proofErr w:type="gramStart"/>
      <w:r w:rsidR="00C145FA" w:rsidRPr="00E760E8">
        <w:rPr>
          <w:rFonts w:ascii="Tahoma" w:hAnsi="Tahoma" w:cs="Tahoma"/>
          <w:sz w:val="22"/>
        </w:rPr>
        <w:t>Taiwan</w:t>
      </w:r>
      <w:r w:rsidR="00E760E8" w:rsidRPr="00E760E8">
        <w:rPr>
          <w:rFonts w:ascii="Tahoma" w:hAnsi="Tahoma" w:cs="Tahoma"/>
          <w:sz w:val="22"/>
        </w:rPr>
        <w:t>;</w:t>
      </w:r>
      <w:proofErr w:type="gramEnd"/>
    </w:p>
    <w:p w14:paraId="46F962BE" w14:textId="67284897" w:rsidR="00C145FA" w:rsidRPr="00E760E8" w:rsidRDefault="00621730" w:rsidP="00D5190F">
      <w:pPr>
        <w:spacing w:line="360" w:lineRule="exact"/>
        <w:contextualSpacing/>
        <w:jc w:val="both"/>
        <w:rPr>
          <w:rFonts w:ascii="Tahoma" w:hAnsi="Tahoma" w:cs="Tahoma"/>
          <w:sz w:val="22"/>
        </w:rPr>
      </w:pPr>
      <w:r>
        <w:rPr>
          <w:rFonts w:ascii="Tahoma" w:hAnsi="Tahoma" w:cs="Tahoma" w:hint="eastAsia"/>
          <w:sz w:val="22"/>
        </w:rPr>
        <w:t>3</w:t>
      </w:r>
      <w:r w:rsidR="00C145FA" w:rsidRPr="00E760E8">
        <w:rPr>
          <w:rFonts w:ascii="Tahoma" w:hAnsi="Tahoma" w:cs="Tahoma"/>
          <w:sz w:val="22"/>
        </w:rPr>
        <w:t xml:space="preserve"> Comprehensive Breast Health Center, Taipei Veterans General Hospital, Taipei, </w:t>
      </w:r>
      <w:r w:rsidR="00E760E8" w:rsidRPr="00E760E8">
        <w:rPr>
          <w:rFonts w:ascii="Tahoma" w:hAnsi="Tahoma" w:cs="Tahoma" w:hint="eastAsia"/>
          <w:sz w:val="22"/>
        </w:rPr>
        <w:t>Ta</w:t>
      </w:r>
      <w:r w:rsidR="00E760E8" w:rsidRPr="00E760E8">
        <w:rPr>
          <w:rFonts w:ascii="Tahoma" w:hAnsi="Tahoma" w:cs="Tahoma"/>
          <w:sz w:val="22"/>
        </w:rPr>
        <w:t>iwan.</w:t>
      </w:r>
    </w:p>
    <w:p w14:paraId="724D6762" w14:textId="4A89DF3D" w:rsidR="00621730" w:rsidRPr="00E760E8" w:rsidRDefault="00621730" w:rsidP="00621730">
      <w:pPr>
        <w:spacing w:line="360" w:lineRule="exact"/>
        <w:contextualSpacing/>
        <w:jc w:val="both"/>
        <w:rPr>
          <w:rFonts w:ascii="Tahoma" w:hAnsi="Tahoma" w:cs="Tahoma"/>
          <w:sz w:val="22"/>
        </w:rPr>
      </w:pPr>
      <w:r>
        <w:rPr>
          <w:rFonts w:ascii="Tahoma" w:hAnsi="Tahoma" w:cs="Tahoma" w:hint="eastAsia"/>
          <w:sz w:val="22"/>
          <w:lang w:val="fr-FR"/>
        </w:rPr>
        <w:t>4</w:t>
      </w:r>
      <w:r w:rsidRPr="00E760E8">
        <w:rPr>
          <w:rFonts w:ascii="Tahoma" w:hAnsi="Tahoma" w:cs="Tahoma"/>
          <w:sz w:val="22"/>
          <w:lang w:val="fr-FR"/>
        </w:rPr>
        <w:t xml:space="preserve"> Department of Obstetrics and Gynecology, Kaohsiung Veterans General Hospital, Kaohsiung, Taiwan;</w:t>
      </w:r>
    </w:p>
    <w:p w14:paraId="4D2908AD" w14:textId="77777777" w:rsidR="00C145FA" w:rsidRPr="00621730" w:rsidRDefault="00C145FA" w:rsidP="00D5190F">
      <w:pPr>
        <w:spacing w:line="360" w:lineRule="exact"/>
        <w:contextualSpacing/>
        <w:jc w:val="both"/>
        <w:rPr>
          <w:rFonts w:ascii="Tahoma" w:hAnsi="Tahoma" w:cs="Tahoma"/>
          <w:b/>
          <w:bCs/>
          <w:sz w:val="22"/>
        </w:rPr>
      </w:pPr>
    </w:p>
    <w:p w14:paraId="0553562D" w14:textId="557914BA" w:rsidR="008B0E6A" w:rsidRPr="00BC5337" w:rsidRDefault="008B0E6A" w:rsidP="008B0E6A">
      <w:pPr>
        <w:spacing w:line="360" w:lineRule="exact"/>
        <w:contextualSpacing/>
        <w:jc w:val="both"/>
        <w:rPr>
          <w:rFonts w:ascii="Tahoma" w:hAnsi="Tahoma" w:cs="Tahoma"/>
          <w:b/>
          <w:bCs/>
          <w:sz w:val="22"/>
        </w:rPr>
      </w:pPr>
      <w:bookmarkStart w:id="0" w:name="_Hlk111472517"/>
      <w:r w:rsidRPr="00BC5337">
        <w:rPr>
          <w:rFonts w:ascii="Tahoma" w:hAnsi="Tahoma" w:cs="Tahoma"/>
          <w:b/>
          <w:bCs/>
          <w:sz w:val="22"/>
        </w:rPr>
        <w:t>Purpose</w:t>
      </w:r>
    </w:p>
    <w:p w14:paraId="691DA88E" w14:textId="77777777" w:rsidR="008B0E6A" w:rsidRPr="008B0E6A" w:rsidRDefault="008B0E6A" w:rsidP="008B0E6A">
      <w:pPr>
        <w:spacing w:line="360" w:lineRule="exact"/>
        <w:contextualSpacing/>
        <w:jc w:val="both"/>
        <w:rPr>
          <w:rFonts w:ascii="Tahoma" w:hAnsi="Tahoma" w:cs="Tahoma"/>
          <w:sz w:val="22"/>
        </w:rPr>
      </w:pPr>
      <w:r w:rsidRPr="008B0E6A">
        <w:rPr>
          <w:rFonts w:ascii="Tahoma" w:hAnsi="Tahoma" w:cs="Tahoma"/>
          <w:sz w:val="22"/>
        </w:rPr>
        <w:t>The E3 ubiquitin ligase Deltex1 (DTX1) holds promise as a novel marker and therapeutic target for breast cancer. This study aims to elucidate the detailed molecular regulatory mechanisms of DTX1 in breast cancer cells and employ pharmacogenomic strategies to identify potential drugs.</w:t>
      </w:r>
    </w:p>
    <w:p w14:paraId="31D82FDF" w14:textId="77777777" w:rsidR="008B0E6A" w:rsidRPr="008B0E6A" w:rsidRDefault="008B0E6A" w:rsidP="008B0E6A">
      <w:pPr>
        <w:spacing w:line="360" w:lineRule="exact"/>
        <w:contextualSpacing/>
        <w:jc w:val="both"/>
        <w:rPr>
          <w:rFonts w:ascii="Tahoma" w:hAnsi="Tahoma" w:cs="Tahoma"/>
          <w:sz w:val="22"/>
        </w:rPr>
      </w:pPr>
    </w:p>
    <w:p w14:paraId="4DB14126" w14:textId="2A6DE864" w:rsidR="008B0E6A" w:rsidRPr="00BC5337" w:rsidRDefault="008B0E6A" w:rsidP="008B0E6A">
      <w:pPr>
        <w:spacing w:line="360" w:lineRule="exact"/>
        <w:contextualSpacing/>
        <w:jc w:val="both"/>
        <w:rPr>
          <w:rFonts w:ascii="Tahoma" w:hAnsi="Tahoma" w:cs="Tahoma"/>
          <w:b/>
          <w:bCs/>
          <w:sz w:val="22"/>
        </w:rPr>
      </w:pPr>
      <w:r w:rsidRPr="00BC5337">
        <w:rPr>
          <w:rFonts w:ascii="Tahoma" w:hAnsi="Tahoma" w:cs="Tahoma"/>
          <w:b/>
          <w:bCs/>
          <w:sz w:val="22"/>
        </w:rPr>
        <w:t>Method</w:t>
      </w:r>
    </w:p>
    <w:p w14:paraId="241D1F0E" w14:textId="77777777" w:rsidR="008B0E6A" w:rsidRPr="008B0E6A" w:rsidRDefault="008B0E6A" w:rsidP="008B0E6A">
      <w:pPr>
        <w:spacing w:line="360" w:lineRule="exact"/>
        <w:contextualSpacing/>
        <w:jc w:val="both"/>
        <w:rPr>
          <w:rFonts w:ascii="Tahoma" w:hAnsi="Tahoma" w:cs="Tahoma"/>
          <w:sz w:val="22"/>
        </w:rPr>
      </w:pPr>
      <w:r w:rsidRPr="008B0E6A">
        <w:rPr>
          <w:rFonts w:ascii="Tahoma" w:hAnsi="Tahoma" w:cs="Tahoma"/>
          <w:sz w:val="22"/>
        </w:rPr>
        <w:t>We conducted a comprehensive analysis of DTX1's clinical relevance using multi-omics data, including single-cell RNA sequencing and spatial transcriptomics. Raw data from the TCGA were validated against our dataset to ensure reliability. Additionally, pharmacogenomics was utilized to explore potential small molecule drugs targeting DTX1, and a 3D spheroid model was employed for drug screening.</w:t>
      </w:r>
    </w:p>
    <w:p w14:paraId="0C3D242C" w14:textId="77777777" w:rsidR="008B0E6A" w:rsidRPr="008B0E6A" w:rsidRDefault="008B0E6A" w:rsidP="008B0E6A">
      <w:pPr>
        <w:spacing w:line="360" w:lineRule="exact"/>
        <w:contextualSpacing/>
        <w:jc w:val="both"/>
        <w:rPr>
          <w:rFonts w:ascii="Tahoma" w:hAnsi="Tahoma" w:cs="Tahoma"/>
          <w:sz w:val="22"/>
        </w:rPr>
      </w:pPr>
    </w:p>
    <w:p w14:paraId="20A1556C" w14:textId="25312C9A" w:rsidR="008B0E6A" w:rsidRPr="00BC5337" w:rsidRDefault="008B0E6A" w:rsidP="008B0E6A">
      <w:pPr>
        <w:spacing w:line="360" w:lineRule="exact"/>
        <w:contextualSpacing/>
        <w:jc w:val="both"/>
        <w:rPr>
          <w:rFonts w:ascii="Tahoma" w:hAnsi="Tahoma" w:cs="Tahoma"/>
          <w:b/>
          <w:bCs/>
          <w:sz w:val="22"/>
        </w:rPr>
      </w:pPr>
      <w:r w:rsidRPr="00BC5337">
        <w:rPr>
          <w:rFonts w:ascii="Tahoma" w:hAnsi="Tahoma" w:cs="Tahoma"/>
          <w:b/>
          <w:bCs/>
          <w:sz w:val="22"/>
        </w:rPr>
        <w:t>Result</w:t>
      </w:r>
      <w:r w:rsidR="00BC5337">
        <w:rPr>
          <w:rFonts w:ascii="Tahoma" w:hAnsi="Tahoma" w:cs="Tahoma" w:hint="eastAsia"/>
          <w:b/>
          <w:bCs/>
          <w:sz w:val="22"/>
        </w:rPr>
        <w:t>s</w:t>
      </w:r>
    </w:p>
    <w:p w14:paraId="6856D4DE" w14:textId="77777777" w:rsidR="008B0E6A" w:rsidRPr="008B0E6A" w:rsidRDefault="008B0E6A" w:rsidP="008B0E6A">
      <w:pPr>
        <w:spacing w:line="360" w:lineRule="exact"/>
        <w:contextualSpacing/>
        <w:jc w:val="both"/>
        <w:rPr>
          <w:rFonts w:ascii="Tahoma" w:hAnsi="Tahoma" w:cs="Tahoma"/>
          <w:sz w:val="22"/>
        </w:rPr>
      </w:pPr>
      <w:r w:rsidRPr="008B0E6A">
        <w:rPr>
          <w:rFonts w:ascii="Tahoma" w:hAnsi="Tahoma" w:cs="Tahoma"/>
          <w:sz w:val="22"/>
        </w:rPr>
        <w:t>The mRNA and protein expression levels of DTX1 were significantly lower in breast cancer (BRCA) tissues compared to adjacent non-cancerous tissues. Importantly, low DTX1 expression was associated with poor prognosis in BRCA patients. Spatial transcription analysis and single-cell RNA-seq further confirmed that DTX1 is an independent prognostic factor for BRCA. Functional enrichment analysis using KEGG pathways and gene ontology (GO) revealed that low DTX1 expression in malignant breast cancer is primarily associated with macrophage infiltration. Furthermore, pharmacogenomic screening identified small molecule drugs that modulate DTX1 expression in breast cancer cells, effectively inhibiting their growth.</w:t>
      </w:r>
    </w:p>
    <w:p w14:paraId="6631312C" w14:textId="77777777" w:rsidR="008B0E6A" w:rsidRPr="008B0E6A" w:rsidRDefault="008B0E6A" w:rsidP="008B0E6A">
      <w:pPr>
        <w:spacing w:line="360" w:lineRule="exact"/>
        <w:contextualSpacing/>
        <w:jc w:val="both"/>
        <w:rPr>
          <w:rFonts w:ascii="Tahoma" w:hAnsi="Tahoma" w:cs="Tahoma"/>
          <w:sz w:val="22"/>
        </w:rPr>
      </w:pPr>
    </w:p>
    <w:p w14:paraId="08384DBD" w14:textId="0788F7CA" w:rsidR="008B0E6A" w:rsidRPr="00BC5337" w:rsidRDefault="008B0E6A" w:rsidP="008B0E6A">
      <w:pPr>
        <w:spacing w:line="360" w:lineRule="exact"/>
        <w:contextualSpacing/>
        <w:jc w:val="both"/>
        <w:rPr>
          <w:rFonts w:ascii="Tahoma" w:hAnsi="Tahoma" w:cs="Tahoma"/>
          <w:b/>
          <w:bCs/>
          <w:sz w:val="22"/>
        </w:rPr>
      </w:pPr>
      <w:r w:rsidRPr="00BC5337">
        <w:rPr>
          <w:rFonts w:ascii="Tahoma" w:hAnsi="Tahoma" w:cs="Tahoma"/>
          <w:b/>
          <w:bCs/>
          <w:sz w:val="22"/>
        </w:rPr>
        <w:t>Conclusion</w:t>
      </w:r>
    </w:p>
    <w:p w14:paraId="6B31752D" w14:textId="0231DFC9" w:rsidR="00E760E8" w:rsidRDefault="008B0E6A" w:rsidP="008B0E6A">
      <w:pPr>
        <w:spacing w:line="360" w:lineRule="exact"/>
        <w:contextualSpacing/>
        <w:jc w:val="both"/>
        <w:rPr>
          <w:rFonts w:ascii="Tahoma" w:hAnsi="Tahoma" w:cs="Tahoma"/>
          <w:sz w:val="28"/>
          <w:szCs w:val="28"/>
        </w:rPr>
      </w:pPr>
      <w:r w:rsidRPr="008B0E6A">
        <w:rPr>
          <w:rFonts w:ascii="Tahoma" w:hAnsi="Tahoma" w:cs="Tahoma"/>
          <w:sz w:val="22"/>
        </w:rPr>
        <w:t>This study uncovers novel diagnostic and prognostic implications of DTX1 in breast cancer and introduces new small molecule drugs that can effectively slow cancer progression.</w:t>
      </w:r>
      <w:bookmarkEnd w:id="0"/>
    </w:p>
    <w:sectPr w:rsidR="00E760E8" w:rsidSect="00C6174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D11CF" w14:textId="77777777" w:rsidR="00496D89" w:rsidRDefault="00496D89" w:rsidP="008D7E72">
      <w:r>
        <w:separator/>
      </w:r>
    </w:p>
  </w:endnote>
  <w:endnote w:type="continuationSeparator" w:id="0">
    <w:p w14:paraId="30DF5E90" w14:textId="77777777" w:rsidR="00496D89" w:rsidRDefault="00496D89" w:rsidP="008D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8959" w14:textId="77777777" w:rsidR="00496D89" w:rsidRDefault="00496D89" w:rsidP="008D7E72">
      <w:r>
        <w:separator/>
      </w:r>
    </w:p>
  </w:footnote>
  <w:footnote w:type="continuationSeparator" w:id="0">
    <w:p w14:paraId="2DD4CE35" w14:textId="77777777" w:rsidR="00496D89" w:rsidRDefault="00496D89" w:rsidP="008D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45"/>
    <w:rsid w:val="000D2A4E"/>
    <w:rsid w:val="001F0D3C"/>
    <w:rsid w:val="00295DC0"/>
    <w:rsid w:val="002E44DE"/>
    <w:rsid w:val="0032096B"/>
    <w:rsid w:val="003254D3"/>
    <w:rsid w:val="00354B34"/>
    <w:rsid w:val="003811C1"/>
    <w:rsid w:val="003D3627"/>
    <w:rsid w:val="00411CD1"/>
    <w:rsid w:val="00496D89"/>
    <w:rsid w:val="004A6E01"/>
    <w:rsid w:val="00500B61"/>
    <w:rsid w:val="00525883"/>
    <w:rsid w:val="005632DC"/>
    <w:rsid w:val="00582AE7"/>
    <w:rsid w:val="00594EF2"/>
    <w:rsid w:val="005D35A2"/>
    <w:rsid w:val="005F48E4"/>
    <w:rsid w:val="00621730"/>
    <w:rsid w:val="006305D6"/>
    <w:rsid w:val="00663994"/>
    <w:rsid w:val="006A507D"/>
    <w:rsid w:val="006F05A2"/>
    <w:rsid w:val="00727349"/>
    <w:rsid w:val="00754594"/>
    <w:rsid w:val="007F7B0A"/>
    <w:rsid w:val="00826EAF"/>
    <w:rsid w:val="0087689E"/>
    <w:rsid w:val="008B0E6A"/>
    <w:rsid w:val="008D7E72"/>
    <w:rsid w:val="00941A4F"/>
    <w:rsid w:val="00951933"/>
    <w:rsid w:val="00961093"/>
    <w:rsid w:val="00980198"/>
    <w:rsid w:val="009A3830"/>
    <w:rsid w:val="009E0BAE"/>
    <w:rsid w:val="00A3711A"/>
    <w:rsid w:val="00B52D07"/>
    <w:rsid w:val="00B53BBC"/>
    <w:rsid w:val="00B9314F"/>
    <w:rsid w:val="00BC5337"/>
    <w:rsid w:val="00BC6AAE"/>
    <w:rsid w:val="00BF453E"/>
    <w:rsid w:val="00C145FA"/>
    <w:rsid w:val="00C37669"/>
    <w:rsid w:val="00C61745"/>
    <w:rsid w:val="00C7026F"/>
    <w:rsid w:val="00CE47CE"/>
    <w:rsid w:val="00CE4801"/>
    <w:rsid w:val="00D5190F"/>
    <w:rsid w:val="00D51BA7"/>
    <w:rsid w:val="00D537AF"/>
    <w:rsid w:val="00DB2556"/>
    <w:rsid w:val="00DC7D09"/>
    <w:rsid w:val="00E00481"/>
    <w:rsid w:val="00E32EA4"/>
    <w:rsid w:val="00E760E8"/>
    <w:rsid w:val="00EC7798"/>
    <w:rsid w:val="00EE1111"/>
    <w:rsid w:val="00F02BAE"/>
    <w:rsid w:val="00F03DCC"/>
    <w:rsid w:val="00F51C02"/>
    <w:rsid w:val="00FD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D466B"/>
  <w15:chartTrackingRefBased/>
  <w15:docId w15:val="{A9F3C9B7-F0B8-41BD-A0AF-F717688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E72"/>
    <w:pPr>
      <w:tabs>
        <w:tab w:val="center" w:pos="4153"/>
        <w:tab w:val="right" w:pos="8306"/>
      </w:tabs>
      <w:snapToGrid w:val="0"/>
    </w:pPr>
    <w:rPr>
      <w:sz w:val="20"/>
      <w:szCs w:val="20"/>
    </w:rPr>
  </w:style>
  <w:style w:type="character" w:customStyle="1" w:styleId="a4">
    <w:name w:val="頁首 字元"/>
    <w:basedOn w:val="a0"/>
    <w:link w:val="a3"/>
    <w:uiPriority w:val="99"/>
    <w:rsid w:val="008D7E72"/>
    <w:rPr>
      <w:sz w:val="20"/>
      <w:szCs w:val="20"/>
    </w:rPr>
  </w:style>
  <w:style w:type="paragraph" w:styleId="a5">
    <w:name w:val="footer"/>
    <w:basedOn w:val="a"/>
    <w:link w:val="a6"/>
    <w:uiPriority w:val="99"/>
    <w:unhideWhenUsed/>
    <w:rsid w:val="008D7E72"/>
    <w:pPr>
      <w:tabs>
        <w:tab w:val="center" w:pos="4153"/>
        <w:tab w:val="right" w:pos="8306"/>
      </w:tabs>
      <w:snapToGrid w:val="0"/>
    </w:pPr>
    <w:rPr>
      <w:sz w:val="20"/>
      <w:szCs w:val="20"/>
    </w:rPr>
  </w:style>
  <w:style w:type="character" w:customStyle="1" w:styleId="a6">
    <w:name w:val="頁尾 字元"/>
    <w:basedOn w:val="a0"/>
    <w:link w:val="a5"/>
    <w:uiPriority w:val="99"/>
    <w:rsid w:val="008D7E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493">
      <w:bodyDiv w:val="1"/>
      <w:marLeft w:val="0"/>
      <w:marRight w:val="0"/>
      <w:marTop w:val="0"/>
      <w:marBottom w:val="0"/>
      <w:divBdr>
        <w:top w:val="none" w:sz="0" w:space="0" w:color="auto"/>
        <w:left w:val="none" w:sz="0" w:space="0" w:color="auto"/>
        <w:bottom w:val="none" w:sz="0" w:space="0" w:color="auto"/>
        <w:right w:val="none" w:sz="0" w:space="0" w:color="auto"/>
      </w:divBdr>
    </w:div>
    <w:div w:id="449083620">
      <w:bodyDiv w:val="1"/>
      <w:marLeft w:val="0"/>
      <w:marRight w:val="0"/>
      <w:marTop w:val="0"/>
      <w:marBottom w:val="0"/>
      <w:divBdr>
        <w:top w:val="none" w:sz="0" w:space="0" w:color="auto"/>
        <w:left w:val="none" w:sz="0" w:space="0" w:color="auto"/>
        <w:bottom w:val="none" w:sz="0" w:space="0" w:color="auto"/>
        <w:right w:val="none" w:sz="0" w:space="0" w:color="auto"/>
      </w:divBdr>
    </w:div>
    <w:div w:id="462777009">
      <w:bodyDiv w:val="1"/>
      <w:marLeft w:val="0"/>
      <w:marRight w:val="0"/>
      <w:marTop w:val="0"/>
      <w:marBottom w:val="0"/>
      <w:divBdr>
        <w:top w:val="none" w:sz="0" w:space="0" w:color="auto"/>
        <w:left w:val="none" w:sz="0" w:space="0" w:color="auto"/>
        <w:bottom w:val="none" w:sz="0" w:space="0" w:color="auto"/>
        <w:right w:val="none" w:sz="0" w:space="0" w:color="auto"/>
      </w:divBdr>
    </w:div>
    <w:div w:id="9068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CHU</dc:creator>
  <cp:keywords/>
  <dc:description/>
  <cp:lastModifiedBy>17447777</cp:lastModifiedBy>
  <cp:revision>15</cp:revision>
  <dcterms:created xsi:type="dcterms:W3CDTF">2022-08-15T07:13:00Z</dcterms:created>
  <dcterms:modified xsi:type="dcterms:W3CDTF">2024-07-15T14:07:00Z</dcterms:modified>
</cp:coreProperties>
</file>