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19D6C" w14:textId="77777777" w:rsidR="00687621" w:rsidRPr="00C81FCF" w:rsidRDefault="00F90B27">
      <w:pPr>
        <w:rPr>
          <w:rFonts w:ascii="Tahoma" w:hAnsi="Tahoma" w:cs="Tahoma"/>
          <w:sz w:val="28"/>
          <w:szCs w:val="24"/>
        </w:rPr>
      </w:pPr>
      <w:r w:rsidRPr="00C81FCF">
        <w:rPr>
          <w:rFonts w:ascii="Tahoma" w:hAnsi="Tahoma" w:cs="Tahoma"/>
          <w:sz w:val="28"/>
          <w:szCs w:val="24"/>
        </w:rPr>
        <w:t>LXPB5268</w:t>
      </w:r>
      <w:r w:rsidR="00B33257" w:rsidRPr="00C81FCF">
        <w:rPr>
          <w:rFonts w:ascii="Tahoma" w:hAnsi="Tahoma" w:cs="Tahoma"/>
          <w:sz w:val="28"/>
          <w:szCs w:val="24"/>
        </w:rPr>
        <w:t xml:space="preserve"> </w:t>
      </w:r>
      <w:r w:rsidR="00CD60F3" w:rsidRPr="00C81FCF">
        <w:rPr>
          <w:rFonts w:ascii="Tahoma" w:hAnsi="Tahoma" w:cs="Tahoma" w:hint="eastAsia"/>
          <w:sz w:val="28"/>
          <w:szCs w:val="24"/>
        </w:rPr>
        <w:t>combined</w:t>
      </w:r>
      <w:r w:rsidR="00B33257" w:rsidRPr="00C81FCF">
        <w:rPr>
          <w:rFonts w:ascii="Tahoma" w:hAnsi="Tahoma" w:cs="Tahoma"/>
          <w:sz w:val="28"/>
          <w:szCs w:val="24"/>
        </w:rPr>
        <w:t xml:space="preserve"> </w:t>
      </w:r>
      <w:r w:rsidR="00A91019" w:rsidRPr="00C81FCF">
        <w:rPr>
          <w:rFonts w:ascii="Tahoma" w:hAnsi="Tahoma" w:cs="Tahoma" w:hint="eastAsia"/>
          <w:sz w:val="28"/>
          <w:szCs w:val="24"/>
        </w:rPr>
        <w:t xml:space="preserve">with </w:t>
      </w:r>
      <w:r w:rsidR="00CD60F3" w:rsidRPr="00C81FCF">
        <w:rPr>
          <w:rFonts w:ascii="Tahoma" w:hAnsi="Tahoma" w:cs="Tahoma" w:hint="eastAsia"/>
          <w:sz w:val="28"/>
          <w:szCs w:val="24"/>
        </w:rPr>
        <w:t>n</w:t>
      </w:r>
      <w:r w:rsidR="00DB190E" w:rsidRPr="00C81FCF">
        <w:rPr>
          <w:rFonts w:ascii="Tahoma" w:hAnsi="Tahoma" w:cs="Tahoma"/>
          <w:sz w:val="28"/>
          <w:szCs w:val="24"/>
        </w:rPr>
        <w:t xml:space="preserve">eoadjuvant </w:t>
      </w:r>
      <w:r w:rsidR="00CD60F3" w:rsidRPr="00C81FCF">
        <w:rPr>
          <w:rFonts w:ascii="Tahoma" w:hAnsi="Tahoma" w:cs="Tahoma" w:hint="eastAsia"/>
          <w:sz w:val="28"/>
          <w:szCs w:val="24"/>
        </w:rPr>
        <w:t>c</w:t>
      </w:r>
      <w:r w:rsidR="00DB190E" w:rsidRPr="00C81FCF">
        <w:rPr>
          <w:rFonts w:ascii="Tahoma" w:hAnsi="Tahoma" w:cs="Tahoma"/>
          <w:sz w:val="28"/>
          <w:szCs w:val="24"/>
        </w:rPr>
        <w:t>hemotherapy</w:t>
      </w:r>
      <w:r w:rsidR="00B33257" w:rsidRPr="00C81FCF">
        <w:rPr>
          <w:rFonts w:ascii="Tahoma" w:hAnsi="Tahoma" w:cs="Tahoma"/>
          <w:sz w:val="28"/>
          <w:szCs w:val="24"/>
        </w:rPr>
        <w:t xml:space="preserve"> in </w:t>
      </w:r>
      <w:r w:rsidR="00BA7D5C" w:rsidRPr="00C81FCF">
        <w:rPr>
          <w:rFonts w:ascii="Tahoma" w:hAnsi="Tahoma" w:cs="Tahoma"/>
          <w:sz w:val="28"/>
          <w:szCs w:val="24"/>
        </w:rPr>
        <w:t>early-stage</w:t>
      </w:r>
      <w:r w:rsidR="00B33257" w:rsidRPr="00C81FCF">
        <w:rPr>
          <w:rFonts w:ascii="Tahoma" w:hAnsi="Tahoma" w:cs="Tahoma"/>
          <w:sz w:val="28"/>
          <w:szCs w:val="24"/>
        </w:rPr>
        <w:t xml:space="preserve"> </w:t>
      </w:r>
      <w:r w:rsidR="00A91019" w:rsidRPr="00C81FCF">
        <w:rPr>
          <w:rFonts w:ascii="Tahoma" w:hAnsi="Tahoma" w:cs="Tahoma" w:hint="eastAsia"/>
          <w:sz w:val="28"/>
          <w:szCs w:val="24"/>
        </w:rPr>
        <w:t>T</w:t>
      </w:r>
      <w:r w:rsidR="00B33257" w:rsidRPr="00C81FCF">
        <w:rPr>
          <w:rFonts w:ascii="Tahoma" w:hAnsi="Tahoma" w:cs="Tahoma"/>
          <w:sz w:val="28"/>
          <w:szCs w:val="24"/>
        </w:rPr>
        <w:t>riple-</w:t>
      </w:r>
      <w:r w:rsidR="00A91019" w:rsidRPr="00C81FCF">
        <w:rPr>
          <w:rFonts w:ascii="Tahoma" w:hAnsi="Tahoma" w:cs="Tahoma" w:hint="eastAsia"/>
          <w:sz w:val="28"/>
          <w:szCs w:val="24"/>
        </w:rPr>
        <w:t>N</w:t>
      </w:r>
      <w:r w:rsidR="00B33257" w:rsidRPr="00C81FCF">
        <w:rPr>
          <w:rFonts w:ascii="Tahoma" w:hAnsi="Tahoma" w:cs="Tahoma"/>
          <w:sz w:val="28"/>
          <w:szCs w:val="24"/>
        </w:rPr>
        <w:t xml:space="preserve">egative </w:t>
      </w:r>
      <w:r w:rsidR="00A91019" w:rsidRPr="00C81FCF">
        <w:rPr>
          <w:rFonts w:ascii="Tahoma" w:hAnsi="Tahoma" w:cs="Tahoma" w:hint="eastAsia"/>
          <w:sz w:val="28"/>
          <w:szCs w:val="24"/>
        </w:rPr>
        <w:t>B</w:t>
      </w:r>
      <w:r w:rsidR="00B33257" w:rsidRPr="00C81FCF">
        <w:rPr>
          <w:rFonts w:ascii="Tahoma" w:hAnsi="Tahoma" w:cs="Tahoma"/>
          <w:sz w:val="28"/>
          <w:szCs w:val="24"/>
        </w:rPr>
        <w:t xml:space="preserve">reast </w:t>
      </w:r>
      <w:r w:rsidR="00A91019" w:rsidRPr="00C81FCF">
        <w:rPr>
          <w:rFonts w:ascii="Tahoma" w:hAnsi="Tahoma" w:cs="Tahoma" w:hint="eastAsia"/>
          <w:sz w:val="28"/>
          <w:szCs w:val="24"/>
        </w:rPr>
        <w:t>C</w:t>
      </w:r>
      <w:r w:rsidR="00B33257" w:rsidRPr="00C81FCF">
        <w:rPr>
          <w:rFonts w:ascii="Tahoma" w:hAnsi="Tahoma" w:cs="Tahoma"/>
          <w:sz w:val="28"/>
          <w:szCs w:val="24"/>
        </w:rPr>
        <w:t>ancer</w:t>
      </w:r>
      <w:r w:rsidR="00511252" w:rsidRPr="00C81FCF">
        <w:rPr>
          <w:rFonts w:ascii="Tahoma" w:hAnsi="Tahoma" w:cs="Tahoma"/>
          <w:sz w:val="28"/>
          <w:szCs w:val="24"/>
        </w:rPr>
        <w:t xml:space="preserve"> </w:t>
      </w:r>
      <w:r w:rsidR="00CD60F3" w:rsidRPr="00C81FCF">
        <w:rPr>
          <w:rFonts w:ascii="Tahoma" w:hAnsi="Tahoma" w:cs="Tahoma" w:hint="eastAsia"/>
          <w:sz w:val="28"/>
          <w:szCs w:val="24"/>
        </w:rPr>
        <w:t>p</w:t>
      </w:r>
      <w:r w:rsidR="007379C4" w:rsidRPr="00C81FCF">
        <w:rPr>
          <w:rFonts w:ascii="Tahoma" w:hAnsi="Tahoma" w:cs="Tahoma"/>
          <w:sz w:val="28"/>
          <w:szCs w:val="24"/>
        </w:rPr>
        <w:t>atients</w:t>
      </w:r>
    </w:p>
    <w:p w14:paraId="1FF2340D" w14:textId="52275480" w:rsidR="0035352F" w:rsidRPr="00A91019" w:rsidRDefault="00511252">
      <w:pPr>
        <w:rPr>
          <w:rFonts w:ascii="Tahoma" w:hAnsi="Tahoma" w:cs="Tahoma"/>
          <w:b/>
          <w:bCs/>
          <w:sz w:val="28"/>
          <w:szCs w:val="24"/>
        </w:rPr>
      </w:pPr>
      <w:r w:rsidRPr="00A91019">
        <w:rPr>
          <w:rFonts w:ascii="Tahoma" w:hAnsi="Tahoma" w:cs="Tahoma"/>
          <w:b/>
          <w:bCs/>
          <w:sz w:val="28"/>
          <w:szCs w:val="24"/>
        </w:rPr>
        <w:t xml:space="preserve">                         </w:t>
      </w:r>
    </w:p>
    <w:p w14:paraId="2D08ED98" w14:textId="293C7C96" w:rsidR="00D47BC8" w:rsidRPr="00687621" w:rsidRDefault="00D47BC8" w:rsidP="00D47BC8">
      <w:pPr>
        <w:rPr>
          <w:rFonts w:ascii="Tahoma" w:hAnsi="Tahoma" w:cs="Tahoma"/>
          <w:spacing w:val="7"/>
          <w:sz w:val="22"/>
          <w:szCs w:val="20"/>
          <w:shd w:val="clear" w:color="auto" w:fill="FFFFFF"/>
        </w:rPr>
      </w:pPr>
      <w:r w:rsidRPr="00C81FCF">
        <w:rPr>
          <w:rFonts w:ascii="Tahoma" w:hAnsi="Tahoma" w:cs="Tahoma"/>
          <w:spacing w:val="7"/>
          <w:sz w:val="22"/>
          <w:szCs w:val="20"/>
          <w:u w:val="single"/>
          <w:shd w:val="clear" w:color="auto" w:fill="FFFFFF"/>
        </w:rPr>
        <w:t>Liang-Chih Liu</w:t>
      </w:r>
      <w:r w:rsidRPr="00C81FCF">
        <w:rPr>
          <w:rFonts w:ascii="Tahoma" w:hAnsi="Tahoma" w:cs="Tahoma"/>
          <w:spacing w:val="7"/>
          <w:sz w:val="22"/>
          <w:szCs w:val="20"/>
          <w:u w:val="single"/>
          <w:shd w:val="clear" w:color="auto" w:fill="FFFFFF"/>
          <w:vertAlign w:val="superscript"/>
        </w:rPr>
        <w:t>1</w:t>
      </w:r>
      <w:r w:rsidRPr="00687621">
        <w:rPr>
          <w:rFonts w:ascii="Tahoma" w:hAnsi="Tahoma" w:cs="Tahoma"/>
          <w:spacing w:val="7"/>
          <w:sz w:val="22"/>
          <w:szCs w:val="20"/>
          <w:shd w:val="clear" w:color="auto" w:fill="FFFFFF"/>
        </w:rPr>
        <w:t>; Tzong-Der Way</w:t>
      </w:r>
      <w:r w:rsidRPr="00687621">
        <w:rPr>
          <w:rFonts w:ascii="Tahoma" w:hAnsi="Tahoma" w:cs="Tahoma"/>
          <w:spacing w:val="7"/>
          <w:sz w:val="22"/>
          <w:szCs w:val="20"/>
          <w:shd w:val="clear" w:color="auto" w:fill="FFFFFF"/>
          <w:vertAlign w:val="superscript"/>
        </w:rPr>
        <w:t>2</w:t>
      </w:r>
      <w:r w:rsidRPr="00687621">
        <w:rPr>
          <w:rFonts w:ascii="Tahoma" w:hAnsi="Tahoma" w:cs="Tahoma"/>
          <w:spacing w:val="7"/>
          <w:sz w:val="22"/>
          <w:szCs w:val="20"/>
          <w:shd w:val="clear" w:color="auto" w:fill="FFFFFF"/>
        </w:rPr>
        <w:t>; Chin- Hua Lin</w:t>
      </w:r>
      <w:r w:rsidRPr="00687621">
        <w:rPr>
          <w:rFonts w:ascii="Tahoma" w:hAnsi="Tahoma" w:cs="Tahoma"/>
          <w:spacing w:val="7"/>
          <w:sz w:val="22"/>
          <w:szCs w:val="20"/>
          <w:shd w:val="clear" w:color="auto" w:fill="FFFFFF"/>
          <w:vertAlign w:val="superscript"/>
        </w:rPr>
        <w:t>3</w:t>
      </w:r>
      <w:r w:rsidRPr="00687621">
        <w:rPr>
          <w:rFonts w:ascii="Tahoma" w:hAnsi="Tahoma" w:cs="Tahoma"/>
          <w:spacing w:val="7"/>
          <w:sz w:val="22"/>
          <w:szCs w:val="20"/>
          <w:shd w:val="clear" w:color="auto" w:fill="FFFFFF"/>
        </w:rPr>
        <w:t>; Ya-Hui Chen</w:t>
      </w:r>
      <w:r w:rsidRPr="00687621">
        <w:rPr>
          <w:rFonts w:ascii="Tahoma" w:hAnsi="Tahoma" w:cs="Tahoma"/>
          <w:spacing w:val="7"/>
          <w:sz w:val="22"/>
          <w:szCs w:val="20"/>
          <w:shd w:val="clear" w:color="auto" w:fill="FFFFFF"/>
          <w:vertAlign w:val="superscript"/>
        </w:rPr>
        <w:t>3</w:t>
      </w:r>
      <w:r w:rsidRPr="00687621">
        <w:rPr>
          <w:rFonts w:ascii="Tahoma" w:hAnsi="Tahoma" w:cs="Tahoma"/>
          <w:spacing w:val="7"/>
          <w:sz w:val="22"/>
          <w:szCs w:val="20"/>
          <w:shd w:val="clear" w:color="auto" w:fill="FFFFFF"/>
        </w:rPr>
        <w:t>; Chung-Hsin Tseng</w:t>
      </w:r>
      <w:r w:rsidRPr="00687621">
        <w:rPr>
          <w:rFonts w:ascii="Tahoma" w:hAnsi="Tahoma" w:cs="Tahoma"/>
          <w:spacing w:val="7"/>
          <w:sz w:val="22"/>
          <w:szCs w:val="20"/>
          <w:shd w:val="clear" w:color="auto" w:fill="FFFFFF"/>
          <w:vertAlign w:val="superscript"/>
        </w:rPr>
        <w:t>3</w:t>
      </w:r>
      <w:r w:rsidRPr="00687621">
        <w:rPr>
          <w:rFonts w:ascii="Tahoma" w:hAnsi="Tahoma" w:cs="Tahoma"/>
          <w:spacing w:val="7"/>
          <w:sz w:val="22"/>
          <w:szCs w:val="20"/>
          <w:shd w:val="clear" w:color="auto" w:fill="FFFFFF"/>
        </w:rPr>
        <w:t xml:space="preserve">; Pin-Hung </w:t>
      </w:r>
      <w:r w:rsidR="002C2FA6" w:rsidRPr="00687621">
        <w:rPr>
          <w:rFonts w:ascii="Tahoma" w:hAnsi="Tahoma" w:cs="Tahoma"/>
          <w:spacing w:val="7"/>
          <w:sz w:val="22"/>
          <w:szCs w:val="20"/>
          <w:shd w:val="clear" w:color="auto" w:fill="FFFFFF"/>
        </w:rPr>
        <w:t>K</w:t>
      </w:r>
      <w:r w:rsidRPr="00687621">
        <w:rPr>
          <w:rFonts w:ascii="Tahoma" w:hAnsi="Tahoma" w:cs="Tahoma"/>
          <w:spacing w:val="7"/>
          <w:sz w:val="22"/>
          <w:szCs w:val="20"/>
          <w:shd w:val="clear" w:color="auto" w:fill="FFFFFF"/>
        </w:rPr>
        <w:t>uo</w:t>
      </w:r>
      <w:r w:rsidRPr="00687621">
        <w:rPr>
          <w:rFonts w:ascii="Tahoma" w:hAnsi="Tahoma" w:cs="Tahoma"/>
          <w:spacing w:val="7"/>
          <w:sz w:val="22"/>
          <w:szCs w:val="20"/>
          <w:shd w:val="clear" w:color="auto" w:fill="FFFFFF"/>
          <w:vertAlign w:val="superscript"/>
        </w:rPr>
        <w:t>3</w:t>
      </w:r>
      <w:r w:rsidRPr="00687621">
        <w:rPr>
          <w:rFonts w:ascii="Tahoma" w:hAnsi="Tahoma" w:cs="Tahoma"/>
          <w:spacing w:val="7"/>
          <w:sz w:val="22"/>
          <w:szCs w:val="20"/>
          <w:shd w:val="clear" w:color="auto" w:fill="FFFFFF"/>
        </w:rPr>
        <w:t>; and Chiu-Heng Chen</w:t>
      </w:r>
      <w:r w:rsidRPr="00687621">
        <w:rPr>
          <w:rFonts w:ascii="Tahoma" w:hAnsi="Tahoma" w:cs="Tahoma"/>
          <w:spacing w:val="7"/>
          <w:sz w:val="22"/>
          <w:szCs w:val="20"/>
          <w:shd w:val="clear" w:color="auto" w:fill="FFFFFF"/>
          <w:vertAlign w:val="superscript"/>
        </w:rPr>
        <w:t>3</w:t>
      </w:r>
      <w:r w:rsidR="00BA7D5C" w:rsidRPr="00687621">
        <w:rPr>
          <w:rFonts w:ascii="Tahoma" w:hAnsi="Tahoma" w:cs="Tahoma"/>
          <w:spacing w:val="7"/>
          <w:sz w:val="22"/>
          <w:szCs w:val="20"/>
          <w:shd w:val="clear" w:color="auto" w:fill="FFFFFF"/>
          <w:vertAlign w:val="superscript"/>
        </w:rPr>
        <w:t>*</w:t>
      </w:r>
    </w:p>
    <w:p w14:paraId="4A8FA2FB" w14:textId="77777777" w:rsidR="00D47BC8" w:rsidRPr="00687621" w:rsidRDefault="00D47BC8" w:rsidP="00D47BC8">
      <w:pPr>
        <w:rPr>
          <w:rFonts w:ascii="Tahoma" w:hAnsi="Tahoma" w:cs="Tahoma"/>
          <w:spacing w:val="7"/>
          <w:sz w:val="22"/>
          <w:szCs w:val="20"/>
          <w:shd w:val="clear" w:color="auto" w:fill="FFFFFF"/>
        </w:rPr>
      </w:pPr>
      <w:r w:rsidRPr="00687621">
        <w:rPr>
          <w:rFonts w:ascii="Tahoma" w:hAnsi="Tahoma" w:cs="Tahoma"/>
          <w:spacing w:val="7"/>
          <w:sz w:val="22"/>
          <w:szCs w:val="20"/>
          <w:shd w:val="clear" w:color="auto" w:fill="FFFFFF"/>
          <w:vertAlign w:val="superscript"/>
        </w:rPr>
        <w:t>1</w:t>
      </w:r>
      <w:r w:rsidRPr="00687621">
        <w:rPr>
          <w:rFonts w:ascii="Tahoma" w:hAnsi="Tahoma" w:cs="Tahoma"/>
          <w:spacing w:val="7"/>
          <w:sz w:val="22"/>
          <w:szCs w:val="20"/>
          <w:shd w:val="clear" w:color="auto" w:fill="FFFFFF"/>
        </w:rPr>
        <w:t>Department of Breast Surgery, China Medical University Hospital, Taichung City, Taiwan.</w:t>
      </w:r>
    </w:p>
    <w:p w14:paraId="036C4AF5" w14:textId="77777777" w:rsidR="00D47BC8" w:rsidRPr="00687621" w:rsidRDefault="00D47BC8" w:rsidP="00D47BC8">
      <w:pPr>
        <w:rPr>
          <w:rFonts w:ascii="Tahoma" w:hAnsi="Tahoma" w:cs="Tahoma"/>
          <w:spacing w:val="7"/>
          <w:sz w:val="22"/>
          <w:szCs w:val="20"/>
          <w:shd w:val="clear" w:color="auto" w:fill="FFFFFF"/>
        </w:rPr>
      </w:pPr>
      <w:r w:rsidRPr="00687621">
        <w:rPr>
          <w:rFonts w:ascii="Tahoma" w:hAnsi="Tahoma" w:cs="Tahoma"/>
          <w:spacing w:val="7"/>
          <w:sz w:val="22"/>
          <w:szCs w:val="20"/>
          <w:shd w:val="clear" w:color="auto" w:fill="FFFFFF"/>
          <w:vertAlign w:val="superscript"/>
        </w:rPr>
        <w:t>2</w:t>
      </w:r>
      <w:r w:rsidRPr="00687621">
        <w:rPr>
          <w:rFonts w:ascii="Tahoma" w:hAnsi="Tahoma" w:cs="Tahoma"/>
          <w:spacing w:val="7"/>
          <w:sz w:val="22"/>
          <w:szCs w:val="20"/>
          <w:shd w:val="clear" w:color="auto" w:fill="FFFFFF"/>
        </w:rPr>
        <w:t>Department of Life Sciences, China Medical University, Taichung City, Taiwan.</w:t>
      </w:r>
    </w:p>
    <w:p w14:paraId="22B6E6D7" w14:textId="69410571" w:rsidR="00672B4A" w:rsidRDefault="00D47BC8" w:rsidP="004F6C27">
      <w:pPr>
        <w:rPr>
          <w:rFonts w:ascii="Tahoma" w:hAnsi="Tahoma" w:cs="Tahoma"/>
          <w:spacing w:val="7"/>
          <w:sz w:val="22"/>
          <w:szCs w:val="20"/>
          <w:shd w:val="clear" w:color="auto" w:fill="FFFFFF"/>
        </w:rPr>
      </w:pPr>
      <w:r w:rsidRPr="00687621">
        <w:rPr>
          <w:rFonts w:ascii="Tahoma" w:hAnsi="Tahoma" w:cs="Tahoma"/>
          <w:spacing w:val="7"/>
          <w:sz w:val="22"/>
          <w:szCs w:val="20"/>
          <w:shd w:val="clear" w:color="auto" w:fill="FFFFFF"/>
          <w:vertAlign w:val="superscript"/>
        </w:rPr>
        <w:t>3</w:t>
      </w:r>
      <w:r w:rsidRPr="00687621">
        <w:rPr>
          <w:rFonts w:ascii="Tahoma" w:hAnsi="Tahoma" w:cs="Tahoma"/>
          <w:spacing w:val="7"/>
          <w:sz w:val="22"/>
          <w:szCs w:val="20"/>
          <w:shd w:val="clear" w:color="auto" w:fill="FFFFFF"/>
        </w:rPr>
        <w:t>LAUNXP Biomedical Co., Ltd, Taichung City, Taiwan.</w:t>
      </w:r>
    </w:p>
    <w:p w14:paraId="5FB17814" w14:textId="77777777" w:rsidR="00687621" w:rsidRDefault="00687621" w:rsidP="004F6C27">
      <w:pPr>
        <w:rPr>
          <w:rFonts w:ascii="Tahoma" w:hAnsi="Tahoma" w:cs="Tahoma"/>
          <w:spacing w:val="7"/>
          <w:sz w:val="22"/>
          <w:szCs w:val="20"/>
          <w:shd w:val="clear" w:color="auto" w:fill="FFFFFF"/>
        </w:rPr>
      </w:pPr>
    </w:p>
    <w:p w14:paraId="7BFA7354" w14:textId="77777777" w:rsidR="00687621" w:rsidRPr="00687621" w:rsidRDefault="00687621" w:rsidP="004F6C27">
      <w:pPr>
        <w:rPr>
          <w:rFonts w:ascii="Tahoma" w:hAnsi="Tahoma" w:cs="Tahoma" w:hint="eastAsia"/>
          <w:spacing w:val="7"/>
          <w:sz w:val="22"/>
          <w:szCs w:val="20"/>
          <w:shd w:val="clear" w:color="auto" w:fill="FFFFFF"/>
        </w:rPr>
      </w:pPr>
    </w:p>
    <w:p w14:paraId="15726999" w14:textId="01436254" w:rsidR="001270EF" w:rsidRPr="00A91019" w:rsidRDefault="00A91019" w:rsidP="00687621">
      <w:pPr>
        <w:spacing w:line="360" w:lineRule="exact"/>
        <w:jc w:val="both"/>
        <w:rPr>
          <w:rFonts w:ascii="Tahoma" w:hAnsi="Tahoma" w:cs="Tahoma"/>
          <w:b/>
          <w:bCs/>
          <w:spacing w:val="7"/>
          <w:sz w:val="22"/>
          <w:shd w:val="clear" w:color="auto" w:fill="FFFFFF"/>
        </w:rPr>
      </w:pPr>
      <w:r>
        <w:rPr>
          <w:rFonts w:ascii="Tahoma" w:hAnsi="Tahoma" w:cs="Tahoma" w:hint="eastAsia"/>
          <w:b/>
          <w:bCs/>
          <w:spacing w:val="7"/>
          <w:sz w:val="22"/>
          <w:shd w:val="clear" w:color="auto" w:fill="FFFFFF"/>
        </w:rPr>
        <w:t>Purpose</w:t>
      </w:r>
      <w:r w:rsidR="001270EF" w:rsidRPr="00A91019">
        <w:rPr>
          <w:rFonts w:ascii="Tahoma" w:hAnsi="Tahoma" w:cs="Tahoma"/>
          <w:b/>
          <w:bCs/>
          <w:spacing w:val="7"/>
          <w:sz w:val="22"/>
          <w:shd w:val="clear" w:color="auto" w:fill="FFFFFF"/>
        </w:rPr>
        <w:t>:</w:t>
      </w:r>
    </w:p>
    <w:p w14:paraId="617B33C1" w14:textId="0F212F17" w:rsidR="00BA33D8" w:rsidRDefault="00472B99" w:rsidP="00687621">
      <w:pPr>
        <w:spacing w:line="360" w:lineRule="exact"/>
        <w:jc w:val="both"/>
        <w:rPr>
          <w:rFonts w:ascii="Tahoma" w:hAnsi="Tahoma" w:cs="Tahoma"/>
          <w:spacing w:val="7"/>
          <w:sz w:val="22"/>
          <w:shd w:val="clear" w:color="auto" w:fill="FFFFFF"/>
        </w:rPr>
      </w:pPr>
      <w:r>
        <w:rPr>
          <w:rFonts w:ascii="Tahoma" w:hAnsi="Tahoma" w:cs="Tahoma" w:hint="eastAsia"/>
          <w:spacing w:val="7"/>
          <w:sz w:val="22"/>
          <w:shd w:val="clear" w:color="auto" w:fill="FFFFFF"/>
        </w:rPr>
        <w:t>Triple-negative breast cancer (</w:t>
      </w:r>
      <w:r w:rsidRPr="00472B99">
        <w:rPr>
          <w:rFonts w:ascii="Tahoma" w:hAnsi="Tahoma" w:cs="Tahoma"/>
          <w:spacing w:val="7"/>
          <w:sz w:val="22"/>
          <w:shd w:val="clear" w:color="auto" w:fill="FFFFFF"/>
        </w:rPr>
        <w:t>TNBC</w:t>
      </w:r>
      <w:r>
        <w:rPr>
          <w:rFonts w:ascii="Tahoma" w:hAnsi="Tahoma" w:cs="Tahoma" w:hint="eastAsia"/>
          <w:spacing w:val="7"/>
          <w:sz w:val="22"/>
          <w:shd w:val="clear" w:color="auto" w:fill="FFFFFF"/>
        </w:rPr>
        <w:t>) is</w:t>
      </w:r>
      <w:r w:rsidRPr="00472B99">
        <w:rPr>
          <w:rFonts w:ascii="Tahoma" w:hAnsi="Tahoma" w:cs="Tahoma"/>
          <w:spacing w:val="7"/>
          <w:sz w:val="22"/>
          <w:shd w:val="clear" w:color="auto" w:fill="FFFFFF"/>
        </w:rPr>
        <w:t xml:space="preserve"> a highly fatal breast cancer subtype, benefits from neoadjuvant chemotherapy (NACT), known to enhance survival rates. LXPB5268, a 505(b)(2) drug, demonstrated significant tumor reduction in animal models. This study evaluates LXPB5268 combined with NACT in early-stage TNBC patients.</w:t>
      </w:r>
    </w:p>
    <w:p w14:paraId="1B404679" w14:textId="77777777" w:rsidR="00C81FCF" w:rsidRDefault="00C81FCF" w:rsidP="00687621">
      <w:pPr>
        <w:spacing w:line="360" w:lineRule="exact"/>
        <w:jc w:val="both"/>
        <w:rPr>
          <w:rFonts w:ascii="Tahoma" w:hAnsi="Tahoma" w:cs="Tahoma"/>
          <w:spacing w:val="7"/>
          <w:sz w:val="22"/>
          <w:shd w:val="clear" w:color="auto" w:fill="FFFFFF"/>
        </w:rPr>
      </w:pPr>
    </w:p>
    <w:p w14:paraId="085CCC9F" w14:textId="0156294E" w:rsidR="001270EF" w:rsidRPr="00A91019" w:rsidRDefault="00F50E5B" w:rsidP="00687621">
      <w:pPr>
        <w:spacing w:line="360" w:lineRule="exact"/>
        <w:jc w:val="both"/>
        <w:rPr>
          <w:rFonts w:ascii="Tahoma" w:hAnsi="Tahoma" w:cs="Tahoma"/>
          <w:b/>
          <w:bCs/>
          <w:spacing w:val="7"/>
          <w:sz w:val="22"/>
          <w:shd w:val="clear" w:color="auto" w:fill="FFFFFF"/>
        </w:rPr>
      </w:pPr>
      <w:r w:rsidRPr="00F50E5B">
        <w:rPr>
          <w:rFonts w:ascii="Tahoma" w:hAnsi="Tahoma" w:cs="Tahoma"/>
          <w:b/>
          <w:bCs/>
          <w:spacing w:val="7"/>
          <w:sz w:val="22"/>
          <w:shd w:val="clear" w:color="auto" w:fill="FFFFFF"/>
        </w:rPr>
        <w:t>Materials and Methods</w:t>
      </w:r>
      <w:r w:rsidR="001270EF" w:rsidRPr="00A91019">
        <w:rPr>
          <w:rFonts w:ascii="Tahoma" w:hAnsi="Tahoma" w:cs="Tahoma"/>
          <w:b/>
          <w:bCs/>
          <w:spacing w:val="7"/>
          <w:sz w:val="22"/>
          <w:shd w:val="clear" w:color="auto" w:fill="FFFFFF"/>
        </w:rPr>
        <w:t>:</w:t>
      </w:r>
    </w:p>
    <w:p w14:paraId="375882F8" w14:textId="58C65F7E" w:rsidR="00903804" w:rsidRDefault="00903804" w:rsidP="00687621">
      <w:pPr>
        <w:spacing w:line="360" w:lineRule="exact"/>
        <w:jc w:val="both"/>
        <w:rPr>
          <w:rFonts w:ascii="Tahoma" w:hAnsi="Tahoma" w:cs="Tahoma"/>
          <w:spacing w:val="7"/>
          <w:sz w:val="22"/>
          <w:shd w:val="clear" w:color="auto" w:fill="FFFFFF"/>
        </w:rPr>
      </w:pPr>
      <w:r w:rsidRPr="00903804">
        <w:rPr>
          <w:rFonts w:ascii="Tahoma" w:hAnsi="Tahoma" w:cs="Tahoma"/>
          <w:spacing w:val="7"/>
          <w:sz w:val="22"/>
          <w:shd w:val="clear" w:color="auto" w:fill="FFFFFF"/>
        </w:rPr>
        <w:t xml:space="preserve">Enrolled patients had untreated stage II-III TNBC. NACT consisted of docetaxel every 3 weeks for four cycles, followed by </w:t>
      </w:r>
      <w:proofErr w:type="spellStart"/>
      <w:r w:rsidRPr="00903804">
        <w:rPr>
          <w:rFonts w:ascii="Tahoma" w:hAnsi="Tahoma" w:cs="Tahoma"/>
          <w:spacing w:val="7"/>
          <w:sz w:val="22"/>
          <w:shd w:val="clear" w:color="auto" w:fill="FFFFFF"/>
        </w:rPr>
        <w:t>epirubicin</w:t>
      </w:r>
      <w:proofErr w:type="spellEnd"/>
      <w:r w:rsidRPr="00903804">
        <w:rPr>
          <w:rFonts w:ascii="Tahoma" w:hAnsi="Tahoma" w:cs="Tahoma"/>
          <w:spacing w:val="7"/>
          <w:sz w:val="22"/>
          <w:shd w:val="clear" w:color="auto" w:fill="FFFFFF"/>
        </w:rPr>
        <w:t xml:space="preserve"> and cyclophosphamide every 3 weeks for four cycles. In the LXPB5268+NACT group, patients took LXPB5268 orally once daily during NACT. After treatment, we analyzed tumor objective response rate (ORR), tumor shrinkage rate, and adverse events (AEs). Whole-exome sequencing (WES) was performed in the LXPB5268+NACT group.</w:t>
      </w:r>
    </w:p>
    <w:p w14:paraId="1D7DFAB4" w14:textId="77777777" w:rsidR="00C81FCF" w:rsidRDefault="00C81FCF" w:rsidP="00687621">
      <w:pPr>
        <w:spacing w:line="360" w:lineRule="exact"/>
        <w:jc w:val="both"/>
        <w:rPr>
          <w:rFonts w:ascii="Tahoma" w:hAnsi="Tahoma" w:cs="Tahoma"/>
          <w:spacing w:val="7"/>
          <w:sz w:val="22"/>
          <w:shd w:val="clear" w:color="auto" w:fill="FFFFFF"/>
        </w:rPr>
      </w:pPr>
    </w:p>
    <w:p w14:paraId="12A356DA" w14:textId="647212C7" w:rsidR="00903804" w:rsidRPr="00903804" w:rsidRDefault="001270EF" w:rsidP="00687621">
      <w:pPr>
        <w:spacing w:line="360" w:lineRule="exact"/>
        <w:jc w:val="both"/>
        <w:rPr>
          <w:rFonts w:ascii="Tahoma" w:hAnsi="Tahoma" w:cs="Tahoma"/>
          <w:b/>
          <w:bCs/>
          <w:spacing w:val="7"/>
          <w:sz w:val="22"/>
          <w:shd w:val="clear" w:color="auto" w:fill="FFFFFF"/>
        </w:rPr>
      </w:pPr>
      <w:r w:rsidRPr="00A91019">
        <w:rPr>
          <w:rFonts w:ascii="Tahoma" w:hAnsi="Tahoma" w:cs="Tahoma"/>
          <w:b/>
          <w:bCs/>
          <w:spacing w:val="7"/>
          <w:sz w:val="22"/>
          <w:shd w:val="clear" w:color="auto" w:fill="FFFFFF"/>
        </w:rPr>
        <w:t>Results:</w:t>
      </w:r>
    </w:p>
    <w:p w14:paraId="1F479E52" w14:textId="5046EA4C" w:rsidR="00903804" w:rsidRDefault="00A9155A" w:rsidP="00687621">
      <w:pPr>
        <w:spacing w:line="360" w:lineRule="exact"/>
        <w:jc w:val="both"/>
        <w:rPr>
          <w:rFonts w:ascii="Tahoma" w:hAnsi="Tahoma" w:cs="Tahoma"/>
          <w:spacing w:val="7"/>
          <w:sz w:val="22"/>
          <w:shd w:val="clear" w:color="auto" w:fill="FFFFFF"/>
        </w:rPr>
      </w:pPr>
      <w:r w:rsidRPr="00A9155A">
        <w:rPr>
          <w:rFonts w:ascii="Tahoma" w:hAnsi="Tahoma" w:cs="Tahoma"/>
          <w:spacing w:val="7"/>
          <w:sz w:val="22"/>
          <w:shd w:val="clear" w:color="auto" w:fill="FFFFFF"/>
        </w:rPr>
        <w:t>Seven subjects were enrolled LXPB5268+NACT and compared with the NACT database at China Medical University Hospital. The LXPB5268+NACT group showed 3 pathological complete responses (</w:t>
      </w:r>
      <w:proofErr w:type="spellStart"/>
      <w:r w:rsidRPr="00A9155A">
        <w:rPr>
          <w:rFonts w:ascii="Tahoma" w:hAnsi="Tahoma" w:cs="Tahoma"/>
          <w:spacing w:val="7"/>
          <w:sz w:val="22"/>
          <w:shd w:val="clear" w:color="auto" w:fill="FFFFFF"/>
        </w:rPr>
        <w:t>pCR</w:t>
      </w:r>
      <w:proofErr w:type="spellEnd"/>
      <w:r w:rsidRPr="00A9155A">
        <w:rPr>
          <w:rFonts w:ascii="Tahoma" w:hAnsi="Tahoma" w:cs="Tahoma"/>
          <w:spacing w:val="7"/>
          <w:sz w:val="22"/>
          <w:shd w:val="clear" w:color="auto" w:fill="FFFFFF"/>
        </w:rPr>
        <w:t>) and 4 pathological partial responses (</w:t>
      </w:r>
      <w:proofErr w:type="spellStart"/>
      <w:r w:rsidRPr="00A9155A">
        <w:rPr>
          <w:rFonts w:ascii="Tahoma" w:hAnsi="Tahoma" w:cs="Tahoma"/>
          <w:spacing w:val="7"/>
          <w:sz w:val="22"/>
          <w:shd w:val="clear" w:color="auto" w:fill="FFFFFF"/>
        </w:rPr>
        <w:t>pPR</w:t>
      </w:r>
      <w:proofErr w:type="spellEnd"/>
      <w:r w:rsidRPr="00A9155A">
        <w:rPr>
          <w:rFonts w:ascii="Tahoma" w:hAnsi="Tahoma" w:cs="Tahoma"/>
          <w:spacing w:val="7"/>
          <w:sz w:val="22"/>
          <w:shd w:val="clear" w:color="auto" w:fill="FFFFFF"/>
        </w:rPr>
        <w:t xml:space="preserve">), while the NACT group had 6 </w:t>
      </w:r>
      <w:proofErr w:type="spellStart"/>
      <w:r w:rsidRPr="00A9155A">
        <w:rPr>
          <w:rFonts w:ascii="Tahoma" w:hAnsi="Tahoma" w:cs="Tahoma"/>
          <w:spacing w:val="7"/>
          <w:sz w:val="22"/>
          <w:shd w:val="clear" w:color="auto" w:fill="FFFFFF"/>
        </w:rPr>
        <w:t>pPR</w:t>
      </w:r>
      <w:proofErr w:type="spellEnd"/>
      <w:r w:rsidRPr="00A9155A">
        <w:rPr>
          <w:rFonts w:ascii="Tahoma" w:hAnsi="Tahoma" w:cs="Tahoma"/>
          <w:spacing w:val="7"/>
          <w:sz w:val="22"/>
          <w:shd w:val="clear" w:color="auto" w:fill="FFFFFF"/>
        </w:rPr>
        <w:t>. Tumor shrinkage rates were 77.3% ± 21.8 in LXPB5268+NACT versus 43.4% ± 12.8 in NACT (p &lt; 0.001). AEs included neutropenia (85.7%), constipation (66.7%), and insomnia (66.7%), resolving within two weeks post-treatment cessation. Higher tumor shrinkage rates correlated with XIRP2 gene mutations in the LXPB5268+NACT group.</w:t>
      </w:r>
    </w:p>
    <w:p w14:paraId="0E35BE52" w14:textId="77777777" w:rsidR="00C81FCF" w:rsidRPr="00903804" w:rsidRDefault="00C81FCF" w:rsidP="00687621">
      <w:pPr>
        <w:spacing w:line="360" w:lineRule="exact"/>
        <w:jc w:val="both"/>
        <w:rPr>
          <w:rFonts w:ascii="Tahoma" w:hAnsi="Tahoma" w:cs="Tahoma"/>
          <w:spacing w:val="7"/>
          <w:sz w:val="22"/>
          <w:shd w:val="clear" w:color="auto" w:fill="FFFFFF"/>
        </w:rPr>
      </w:pPr>
    </w:p>
    <w:p w14:paraId="0256316E" w14:textId="77777777" w:rsidR="001270EF" w:rsidRPr="00A91019" w:rsidRDefault="001270EF" w:rsidP="00687621">
      <w:pPr>
        <w:spacing w:line="360" w:lineRule="exact"/>
        <w:jc w:val="both"/>
        <w:rPr>
          <w:rFonts w:ascii="Tahoma" w:hAnsi="Tahoma" w:cs="Tahoma"/>
          <w:b/>
          <w:bCs/>
          <w:spacing w:val="7"/>
          <w:sz w:val="22"/>
          <w:shd w:val="clear" w:color="auto" w:fill="FFFFFF"/>
        </w:rPr>
      </w:pPr>
      <w:r w:rsidRPr="00A91019">
        <w:rPr>
          <w:rFonts w:ascii="Tahoma" w:hAnsi="Tahoma" w:cs="Tahoma"/>
          <w:b/>
          <w:bCs/>
          <w:spacing w:val="7"/>
          <w:sz w:val="22"/>
          <w:shd w:val="clear" w:color="auto" w:fill="FFFFFF"/>
        </w:rPr>
        <w:t>Conclusions:</w:t>
      </w:r>
    </w:p>
    <w:p w14:paraId="395CA18B" w14:textId="3BF2DFE2" w:rsidR="00A91019" w:rsidRDefault="00A9155A" w:rsidP="00687621">
      <w:pPr>
        <w:spacing w:line="360" w:lineRule="exact"/>
        <w:jc w:val="both"/>
        <w:rPr>
          <w:rFonts w:ascii="Tahoma" w:hAnsi="Tahoma" w:cs="Tahoma"/>
          <w:spacing w:val="7"/>
          <w:sz w:val="22"/>
          <w:shd w:val="clear" w:color="auto" w:fill="FFFFFF"/>
        </w:rPr>
      </w:pPr>
      <w:r w:rsidRPr="00A9155A">
        <w:rPr>
          <w:rFonts w:ascii="Tahoma" w:hAnsi="Tahoma" w:cs="Tahoma"/>
          <w:spacing w:val="7"/>
          <w:sz w:val="22"/>
          <w:shd w:val="clear" w:color="auto" w:fill="FFFFFF"/>
        </w:rPr>
        <w:t>Combining LXPB5268 with NACT was more effective than NACT alone in early-stage TNBC, with no increase in AEs. These findings underscore the potential of LXPB5268 in TNBC therapy, particularly among patients with XIRP2 mutations. Future trials are warranted to further validate its efficacy in clinical settings.</w:t>
      </w:r>
    </w:p>
    <w:sectPr w:rsidR="00A91019" w:rsidSect="00687621">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7D3B9" w14:textId="77777777" w:rsidR="00C616E8" w:rsidRDefault="00C616E8" w:rsidP="00CA7AEA">
      <w:r>
        <w:separator/>
      </w:r>
    </w:p>
  </w:endnote>
  <w:endnote w:type="continuationSeparator" w:id="0">
    <w:p w14:paraId="53A4EAF2" w14:textId="77777777" w:rsidR="00C616E8" w:rsidRDefault="00C616E8" w:rsidP="00CA7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B1F22" w14:textId="77777777" w:rsidR="00C616E8" w:rsidRDefault="00C616E8" w:rsidP="00CA7AEA">
      <w:r>
        <w:separator/>
      </w:r>
    </w:p>
  </w:footnote>
  <w:footnote w:type="continuationSeparator" w:id="0">
    <w:p w14:paraId="167BB778" w14:textId="77777777" w:rsidR="00C616E8" w:rsidRDefault="00C616E8" w:rsidP="00CA7A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257"/>
    <w:rsid w:val="000204A7"/>
    <w:rsid w:val="00030AA5"/>
    <w:rsid w:val="000413FA"/>
    <w:rsid w:val="000476C7"/>
    <w:rsid w:val="00054CB1"/>
    <w:rsid w:val="00056892"/>
    <w:rsid w:val="00063380"/>
    <w:rsid w:val="00065942"/>
    <w:rsid w:val="000678AA"/>
    <w:rsid w:val="00082469"/>
    <w:rsid w:val="000904E1"/>
    <w:rsid w:val="00090BD9"/>
    <w:rsid w:val="00091143"/>
    <w:rsid w:val="000A1C30"/>
    <w:rsid w:val="000A3D17"/>
    <w:rsid w:val="000A7956"/>
    <w:rsid w:val="000D1FA0"/>
    <w:rsid w:val="000D438B"/>
    <w:rsid w:val="000E006B"/>
    <w:rsid w:val="000F0DC8"/>
    <w:rsid w:val="0011496B"/>
    <w:rsid w:val="0011724A"/>
    <w:rsid w:val="001270EF"/>
    <w:rsid w:val="00153F78"/>
    <w:rsid w:val="001B03B3"/>
    <w:rsid w:val="001B73F7"/>
    <w:rsid w:val="001F55EB"/>
    <w:rsid w:val="001F753C"/>
    <w:rsid w:val="00202411"/>
    <w:rsid w:val="00233565"/>
    <w:rsid w:val="00255E9A"/>
    <w:rsid w:val="00272770"/>
    <w:rsid w:val="002735BF"/>
    <w:rsid w:val="0028543A"/>
    <w:rsid w:val="002A426E"/>
    <w:rsid w:val="002C2FA6"/>
    <w:rsid w:val="002C3650"/>
    <w:rsid w:val="002D050E"/>
    <w:rsid w:val="002F0D04"/>
    <w:rsid w:val="00307E3F"/>
    <w:rsid w:val="003144F7"/>
    <w:rsid w:val="00317221"/>
    <w:rsid w:val="00320D9B"/>
    <w:rsid w:val="0035352F"/>
    <w:rsid w:val="003803C3"/>
    <w:rsid w:val="003E0E3E"/>
    <w:rsid w:val="003E48EA"/>
    <w:rsid w:val="003E73D0"/>
    <w:rsid w:val="00412E9A"/>
    <w:rsid w:val="00430BBB"/>
    <w:rsid w:val="004610EB"/>
    <w:rsid w:val="00472B99"/>
    <w:rsid w:val="00473091"/>
    <w:rsid w:val="00484D02"/>
    <w:rsid w:val="00484DAE"/>
    <w:rsid w:val="004A002D"/>
    <w:rsid w:val="004D5346"/>
    <w:rsid w:val="004D5D8B"/>
    <w:rsid w:val="004E2BE0"/>
    <w:rsid w:val="004E4C3F"/>
    <w:rsid w:val="004F6C27"/>
    <w:rsid w:val="00502683"/>
    <w:rsid w:val="00504EC6"/>
    <w:rsid w:val="00511252"/>
    <w:rsid w:val="00520927"/>
    <w:rsid w:val="00531273"/>
    <w:rsid w:val="00556437"/>
    <w:rsid w:val="00577307"/>
    <w:rsid w:val="005907FD"/>
    <w:rsid w:val="0059082A"/>
    <w:rsid w:val="005B19FD"/>
    <w:rsid w:val="005B37F2"/>
    <w:rsid w:val="005D02C5"/>
    <w:rsid w:val="00605DFF"/>
    <w:rsid w:val="00623D1F"/>
    <w:rsid w:val="0066097E"/>
    <w:rsid w:val="00667298"/>
    <w:rsid w:val="00672B4A"/>
    <w:rsid w:val="00677992"/>
    <w:rsid w:val="00687621"/>
    <w:rsid w:val="00695043"/>
    <w:rsid w:val="006E1607"/>
    <w:rsid w:val="00723138"/>
    <w:rsid w:val="00730C68"/>
    <w:rsid w:val="007379C4"/>
    <w:rsid w:val="00746394"/>
    <w:rsid w:val="00771C01"/>
    <w:rsid w:val="007A3227"/>
    <w:rsid w:val="007A4C8B"/>
    <w:rsid w:val="007B7FC9"/>
    <w:rsid w:val="007E7CD9"/>
    <w:rsid w:val="007F0775"/>
    <w:rsid w:val="0083762A"/>
    <w:rsid w:val="008762FF"/>
    <w:rsid w:val="00877DC5"/>
    <w:rsid w:val="008905EC"/>
    <w:rsid w:val="008A146B"/>
    <w:rsid w:val="008A3A85"/>
    <w:rsid w:val="008F0DC7"/>
    <w:rsid w:val="008F5E56"/>
    <w:rsid w:val="0090322A"/>
    <w:rsid w:val="00903804"/>
    <w:rsid w:val="00932FE2"/>
    <w:rsid w:val="00936977"/>
    <w:rsid w:val="00944A73"/>
    <w:rsid w:val="00954A67"/>
    <w:rsid w:val="00962CA1"/>
    <w:rsid w:val="0096311E"/>
    <w:rsid w:val="009706D4"/>
    <w:rsid w:val="009769EE"/>
    <w:rsid w:val="009B0E7E"/>
    <w:rsid w:val="009B58AE"/>
    <w:rsid w:val="009B6E1A"/>
    <w:rsid w:val="009F14E6"/>
    <w:rsid w:val="00A00B1E"/>
    <w:rsid w:val="00A055D0"/>
    <w:rsid w:val="00A107A9"/>
    <w:rsid w:val="00A604DF"/>
    <w:rsid w:val="00A63A07"/>
    <w:rsid w:val="00A91019"/>
    <w:rsid w:val="00A9155A"/>
    <w:rsid w:val="00A93F32"/>
    <w:rsid w:val="00AA4F37"/>
    <w:rsid w:val="00AA69F3"/>
    <w:rsid w:val="00AB0F8E"/>
    <w:rsid w:val="00AD23EC"/>
    <w:rsid w:val="00AD3634"/>
    <w:rsid w:val="00AE5DDA"/>
    <w:rsid w:val="00B21807"/>
    <w:rsid w:val="00B27BEC"/>
    <w:rsid w:val="00B33257"/>
    <w:rsid w:val="00B335CD"/>
    <w:rsid w:val="00B36F02"/>
    <w:rsid w:val="00B41FAF"/>
    <w:rsid w:val="00B54356"/>
    <w:rsid w:val="00B6531A"/>
    <w:rsid w:val="00B80C5D"/>
    <w:rsid w:val="00BA19FC"/>
    <w:rsid w:val="00BA33D8"/>
    <w:rsid w:val="00BA7D5C"/>
    <w:rsid w:val="00BF4A31"/>
    <w:rsid w:val="00C25A91"/>
    <w:rsid w:val="00C26711"/>
    <w:rsid w:val="00C434CC"/>
    <w:rsid w:val="00C4479F"/>
    <w:rsid w:val="00C616E8"/>
    <w:rsid w:val="00C64021"/>
    <w:rsid w:val="00C7294D"/>
    <w:rsid w:val="00C81FCF"/>
    <w:rsid w:val="00C91E63"/>
    <w:rsid w:val="00CA51B1"/>
    <w:rsid w:val="00CA7AEA"/>
    <w:rsid w:val="00CB5B44"/>
    <w:rsid w:val="00CB6A7C"/>
    <w:rsid w:val="00CC3045"/>
    <w:rsid w:val="00CC385E"/>
    <w:rsid w:val="00CC6813"/>
    <w:rsid w:val="00CC7A07"/>
    <w:rsid w:val="00CD0D41"/>
    <w:rsid w:val="00CD60F3"/>
    <w:rsid w:val="00CE58A9"/>
    <w:rsid w:val="00CF76C0"/>
    <w:rsid w:val="00D0128C"/>
    <w:rsid w:val="00D257A1"/>
    <w:rsid w:val="00D25E8D"/>
    <w:rsid w:val="00D36339"/>
    <w:rsid w:val="00D47BC8"/>
    <w:rsid w:val="00DB0600"/>
    <w:rsid w:val="00DB190E"/>
    <w:rsid w:val="00DC41DC"/>
    <w:rsid w:val="00DD21DF"/>
    <w:rsid w:val="00DF1438"/>
    <w:rsid w:val="00E072B8"/>
    <w:rsid w:val="00E10F36"/>
    <w:rsid w:val="00E17800"/>
    <w:rsid w:val="00E36F00"/>
    <w:rsid w:val="00E518BF"/>
    <w:rsid w:val="00E651C5"/>
    <w:rsid w:val="00E705C8"/>
    <w:rsid w:val="00E72998"/>
    <w:rsid w:val="00E75B69"/>
    <w:rsid w:val="00E92FAD"/>
    <w:rsid w:val="00E96AAB"/>
    <w:rsid w:val="00EA4CD3"/>
    <w:rsid w:val="00EB4305"/>
    <w:rsid w:val="00EC19B9"/>
    <w:rsid w:val="00EC1A70"/>
    <w:rsid w:val="00EE7DF0"/>
    <w:rsid w:val="00F47EA9"/>
    <w:rsid w:val="00F50E5B"/>
    <w:rsid w:val="00F774AF"/>
    <w:rsid w:val="00F77D85"/>
    <w:rsid w:val="00F824FF"/>
    <w:rsid w:val="00F87764"/>
    <w:rsid w:val="00F90B27"/>
    <w:rsid w:val="00FB7206"/>
    <w:rsid w:val="00FB7713"/>
    <w:rsid w:val="00FC1800"/>
    <w:rsid w:val="00FC3FF5"/>
    <w:rsid w:val="00FE24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D4551"/>
  <w15:chartTrackingRefBased/>
  <w15:docId w15:val="{508ADE9B-87A1-4ACE-BA96-09E060431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7AEA"/>
    <w:pPr>
      <w:tabs>
        <w:tab w:val="center" w:pos="4153"/>
        <w:tab w:val="right" w:pos="8306"/>
      </w:tabs>
      <w:snapToGrid w:val="0"/>
    </w:pPr>
    <w:rPr>
      <w:sz w:val="20"/>
      <w:szCs w:val="20"/>
    </w:rPr>
  </w:style>
  <w:style w:type="character" w:customStyle="1" w:styleId="a4">
    <w:name w:val="頁首 字元"/>
    <w:basedOn w:val="a0"/>
    <w:link w:val="a3"/>
    <w:uiPriority w:val="99"/>
    <w:rsid w:val="00CA7AEA"/>
    <w:rPr>
      <w:sz w:val="20"/>
      <w:szCs w:val="20"/>
    </w:rPr>
  </w:style>
  <w:style w:type="paragraph" w:styleId="a5">
    <w:name w:val="footer"/>
    <w:basedOn w:val="a"/>
    <w:link w:val="a6"/>
    <w:uiPriority w:val="99"/>
    <w:unhideWhenUsed/>
    <w:rsid w:val="00CA7AEA"/>
    <w:pPr>
      <w:tabs>
        <w:tab w:val="center" w:pos="4153"/>
        <w:tab w:val="right" w:pos="8306"/>
      </w:tabs>
      <w:snapToGrid w:val="0"/>
    </w:pPr>
    <w:rPr>
      <w:sz w:val="20"/>
      <w:szCs w:val="20"/>
    </w:rPr>
  </w:style>
  <w:style w:type="character" w:customStyle="1" w:styleId="a6">
    <w:name w:val="頁尾 字元"/>
    <w:basedOn w:val="a0"/>
    <w:link w:val="a5"/>
    <w:uiPriority w:val="99"/>
    <w:rsid w:val="00CA7AEA"/>
    <w:rPr>
      <w:sz w:val="20"/>
      <w:szCs w:val="20"/>
    </w:rPr>
  </w:style>
  <w:style w:type="table" w:styleId="a7">
    <w:name w:val="Table Grid"/>
    <w:basedOn w:val="a1"/>
    <w:uiPriority w:val="39"/>
    <w:rsid w:val="00A00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018569">
      <w:bodyDiv w:val="1"/>
      <w:marLeft w:val="0"/>
      <w:marRight w:val="0"/>
      <w:marTop w:val="0"/>
      <w:marBottom w:val="0"/>
      <w:divBdr>
        <w:top w:val="none" w:sz="0" w:space="0" w:color="auto"/>
        <w:left w:val="none" w:sz="0" w:space="0" w:color="auto"/>
        <w:bottom w:val="none" w:sz="0" w:space="0" w:color="auto"/>
        <w:right w:val="none" w:sz="0" w:space="0" w:color="auto"/>
      </w:divBdr>
    </w:div>
    <w:div w:id="1458912845">
      <w:bodyDiv w:val="1"/>
      <w:marLeft w:val="0"/>
      <w:marRight w:val="0"/>
      <w:marTop w:val="0"/>
      <w:marBottom w:val="0"/>
      <w:divBdr>
        <w:top w:val="none" w:sz="0" w:space="0" w:color="auto"/>
        <w:left w:val="none" w:sz="0" w:space="0" w:color="auto"/>
        <w:bottom w:val="none" w:sz="0" w:space="0" w:color="auto"/>
        <w:right w:val="none" w:sz="0" w:space="0" w:color="auto"/>
      </w:divBdr>
    </w:div>
    <w:div w:id="179663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29FAF-904A-4883-88FB-71584F5D9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328</Words>
  <Characters>1872</Characters>
  <Application>Microsoft Office Word</Application>
  <DocSecurity>0</DocSecurity>
  <Lines>15</Lines>
  <Paragraphs>4</Paragraphs>
  <ScaleCrop>false</ScaleCrop>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朗齊生醫-曾中信</dc:creator>
  <cp:keywords/>
  <dc:description/>
  <cp:lastModifiedBy>Chih-Yin Kuo</cp:lastModifiedBy>
  <cp:revision>5</cp:revision>
  <cp:lastPrinted>2024-07-11T05:57:00Z</cp:lastPrinted>
  <dcterms:created xsi:type="dcterms:W3CDTF">2024-07-11T07:14:00Z</dcterms:created>
  <dcterms:modified xsi:type="dcterms:W3CDTF">2024-07-15T05:55:00Z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e76b40e620422da508c317f884af4bc6775f1740e1997a54567217f46720d890</vt:lpwstr>
  </property>
</Properties>
</file>