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C9A06" w14:textId="1DC90E37" w:rsidR="00E04F31" w:rsidRDefault="00E04F31" w:rsidP="00980198">
      <w:pPr>
        <w:spacing w:line="360" w:lineRule="exact"/>
        <w:contextualSpacing/>
        <w:jc w:val="both"/>
        <w:rPr>
          <w:rFonts w:ascii="Tahoma" w:hAnsi="Tahoma" w:cs="Tahoma"/>
          <w:b/>
          <w:bCs/>
          <w:sz w:val="28"/>
          <w:szCs w:val="28"/>
        </w:rPr>
      </w:pPr>
      <w:bookmarkStart w:id="0" w:name="_Hlk139978822"/>
      <w:r w:rsidRPr="00E04F31">
        <w:rPr>
          <w:rFonts w:ascii="Tahoma" w:hAnsi="Tahoma" w:cs="Tahoma"/>
          <w:b/>
          <w:bCs/>
          <w:sz w:val="28"/>
          <w:szCs w:val="28"/>
        </w:rPr>
        <w:t xml:space="preserve">ATP </w:t>
      </w:r>
      <w:proofErr w:type="spellStart"/>
      <w:r w:rsidRPr="00E04F31">
        <w:rPr>
          <w:rFonts w:ascii="Tahoma" w:hAnsi="Tahoma" w:cs="Tahoma"/>
          <w:b/>
          <w:bCs/>
          <w:sz w:val="28"/>
          <w:szCs w:val="28"/>
        </w:rPr>
        <w:t>synth</w:t>
      </w:r>
      <w:r>
        <w:rPr>
          <w:rFonts w:ascii="Tahoma" w:hAnsi="Tahoma" w:cs="Tahoma" w:hint="eastAsia"/>
          <w:b/>
          <w:bCs/>
          <w:sz w:val="28"/>
          <w:szCs w:val="28"/>
        </w:rPr>
        <w:t>asome</w:t>
      </w:r>
      <w:proofErr w:type="spellEnd"/>
      <w:r w:rsidRPr="00E04F31">
        <w:rPr>
          <w:rFonts w:ascii="Tahoma" w:hAnsi="Tahoma" w:cs="Tahoma"/>
          <w:b/>
          <w:bCs/>
          <w:sz w:val="28"/>
          <w:szCs w:val="28"/>
        </w:rPr>
        <w:t xml:space="preserve"> contributes to efficient energy flux in malignant breast cancer</w:t>
      </w:r>
    </w:p>
    <w:p w14:paraId="2738D0AB" w14:textId="31BE5FC3" w:rsidR="00980198" w:rsidRPr="00D51BA7" w:rsidRDefault="00980198" w:rsidP="00980198">
      <w:pPr>
        <w:spacing w:line="360" w:lineRule="exact"/>
        <w:contextualSpacing/>
        <w:jc w:val="both"/>
        <w:rPr>
          <w:rFonts w:ascii="Tahoma" w:hAnsi="Tahoma" w:cs="Tahoma"/>
          <w:sz w:val="22"/>
        </w:rPr>
      </w:pPr>
      <w:r w:rsidRPr="00D51BA7">
        <w:rPr>
          <w:rFonts w:ascii="Tahoma" w:hAnsi="Tahoma" w:cs="Tahoma"/>
          <w:sz w:val="22"/>
        </w:rPr>
        <w:t xml:space="preserve">Chia-Jung Li </w:t>
      </w:r>
      <w:r w:rsidRPr="00D51BA7">
        <w:rPr>
          <w:rFonts w:ascii="Tahoma" w:hAnsi="Tahoma" w:cs="Tahoma"/>
          <w:sz w:val="22"/>
          <w:vertAlign w:val="superscript"/>
        </w:rPr>
        <w:t xml:space="preserve">1 </w:t>
      </w:r>
      <w:r w:rsidRPr="00D51BA7">
        <w:rPr>
          <w:rFonts w:ascii="Tahoma" w:hAnsi="Tahoma" w:cs="Tahoma"/>
          <w:sz w:val="22"/>
        </w:rPr>
        <w:t>(</w:t>
      </w:r>
      <w:r w:rsidRPr="00D51BA7">
        <w:rPr>
          <w:rFonts w:ascii="Tahoma" w:hAnsi="Tahoma" w:cs="Tahoma"/>
          <w:sz w:val="22"/>
        </w:rPr>
        <w:t>李佳榮</w:t>
      </w:r>
      <w:r w:rsidRPr="00D51BA7">
        <w:rPr>
          <w:rFonts w:ascii="Tahoma" w:hAnsi="Tahoma" w:cs="Tahoma"/>
          <w:sz w:val="22"/>
        </w:rPr>
        <w:t xml:space="preserve">), Yen-Dun Tony Tzeng </w:t>
      </w:r>
      <w:r w:rsidRPr="00D51BA7">
        <w:rPr>
          <w:rFonts w:ascii="Tahoma" w:hAnsi="Tahoma" w:cs="Tahoma"/>
          <w:sz w:val="22"/>
          <w:vertAlign w:val="superscript"/>
        </w:rPr>
        <w:t xml:space="preserve">2 </w:t>
      </w:r>
      <w:r w:rsidRPr="00D51BA7">
        <w:rPr>
          <w:rFonts w:ascii="Tahoma" w:hAnsi="Tahoma" w:cs="Tahoma"/>
          <w:sz w:val="22"/>
        </w:rPr>
        <w:t>(</w:t>
      </w:r>
      <w:r w:rsidRPr="00D51BA7">
        <w:rPr>
          <w:rFonts w:ascii="Tahoma" w:hAnsi="Tahoma" w:cs="Tahoma"/>
          <w:sz w:val="22"/>
        </w:rPr>
        <w:t>曾彥敦</w:t>
      </w:r>
      <w:r w:rsidRPr="00D51BA7">
        <w:rPr>
          <w:rFonts w:ascii="Tahoma" w:hAnsi="Tahoma" w:cs="Tahoma"/>
          <w:sz w:val="22"/>
        </w:rPr>
        <w:t xml:space="preserve">), Pei-Yi Chu </w:t>
      </w:r>
      <w:r w:rsidRPr="00D51BA7">
        <w:rPr>
          <w:rFonts w:ascii="Tahoma" w:hAnsi="Tahoma" w:cs="Tahoma"/>
          <w:sz w:val="22"/>
          <w:vertAlign w:val="superscript"/>
        </w:rPr>
        <w:t xml:space="preserve">3 </w:t>
      </w:r>
      <w:r w:rsidRPr="00D51BA7">
        <w:rPr>
          <w:rFonts w:ascii="Tahoma" w:hAnsi="Tahoma" w:cs="Tahoma"/>
          <w:sz w:val="22"/>
        </w:rPr>
        <w:t>(</w:t>
      </w:r>
      <w:r w:rsidRPr="00D51BA7">
        <w:rPr>
          <w:rFonts w:ascii="Tahoma" w:hAnsi="Tahoma" w:cs="Tahoma"/>
          <w:sz w:val="22"/>
        </w:rPr>
        <w:t>朱</w:t>
      </w:r>
      <w:proofErr w:type="gramStart"/>
      <w:r w:rsidRPr="00D51BA7">
        <w:rPr>
          <w:rFonts w:ascii="Tahoma" w:hAnsi="Tahoma" w:cs="Tahoma"/>
          <w:sz w:val="22"/>
        </w:rPr>
        <w:t>旆</w:t>
      </w:r>
      <w:proofErr w:type="gramEnd"/>
      <w:r w:rsidRPr="00D51BA7">
        <w:rPr>
          <w:rFonts w:ascii="Tahoma" w:hAnsi="Tahoma" w:cs="Tahoma"/>
          <w:sz w:val="22"/>
        </w:rPr>
        <w:t>億</w:t>
      </w:r>
      <w:r w:rsidRPr="00D51BA7">
        <w:rPr>
          <w:rFonts w:ascii="Tahoma" w:hAnsi="Tahoma" w:cs="Tahoma"/>
          <w:sz w:val="22"/>
        </w:rPr>
        <w:t xml:space="preserve">), Ling- Ming Tseng </w:t>
      </w:r>
      <w:r w:rsidRPr="00D51BA7">
        <w:rPr>
          <w:rFonts w:ascii="Tahoma" w:hAnsi="Tahoma" w:cs="Tahoma"/>
          <w:sz w:val="22"/>
          <w:vertAlign w:val="superscript"/>
        </w:rPr>
        <w:t>4</w:t>
      </w:r>
      <w:r w:rsidRPr="00D51BA7">
        <w:rPr>
          <w:rFonts w:ascii="Tahoma" w:hAnsi="Tahoma" w:cs="Tahoma"/>
          <w:sz w:val="22"/>
        </w:rPr>
        <w:t xml:space="preserve"> (</w:t>
      </w:r>
      <w:r w:rsidRPr="00D51BA7">
        <w:rPr>
          <w:rFonts w:ascii="Tahoma" w:hAnsi="Tahoma" w:cs="Tahoma"/>
          <w:sz w:val="22"/>
        </w:rPr>
        <w:t>曾令民</w:t>
      </w:r>
      <w:r w:rsidRPr="00D51BA7">
        <w:rPr>
          <w:rFonts w:ascii="Tahoma" w:hAnsi="Tahoma" w:cs="Tahoma"/>
          <w:sz w:val="22"/>
        </w:rPr>
        <w:t xml:space="preserve">), Ming-Feng Hou </w:t>
      </w:r>
      <w:r w:rsidRPr="00D51BA7">
        <w:rPr>
          <w:rFonts w:ascii="Tahoma" w:hAnsi="Tahoma" w:cs="Tahoma"/>
          <w:sz w:val="22"/>
          <w:vertAlign w:val="superscript"/>
        </w:rPr>
        <w:t xml:space="preserve">5 </w:t>
      </w:r>
      <w:r w:rsidRPr="00D51BA7">
        <w:rPr>
          <w:rFonts w:ascii="Tahoma" w:hAnsi="Tahoma" w:cs="Tahoma"/>
          <w:sz w:val="22"/>
        </w:rPr>
        <w:t>(</w:t>
      </w:r>
      <w:r w:rsidRPr="00D51BA7">
        <w:rPr>
          <w:rFonts w:ascii="Tahoma" w:hAnsi="Tahoma" w:cs="Tahoma"/>
          <w:sz w:val="22"/>
        </w:rPr>
        <w:t>侯明鋒</w:t>
      </w:r>
      <w:r w:rsidRPr="00D51BA7">
        <w:rPr>
          <w:rFonts w:ascii="Tahoma" w:hAnsi="Tahoma" w:cs="Tahoma"/>
          <w:sz w:val="22"/>
        </w:rPr>
        <w:t>)</w:t>
      </w:r>
    </w:p>
    <w:p w14:paraId="49AA077D" w14:textId="77777777" w:rsidR="00980198" w:rsidRPr="00D51BA7" w:rsidRDefault="00980198" w:rsidP="00980198">
      <w:pPr>
        <w:spacing w:line="360" w:lineRule="exact"/>
        <w:contextualSpacing/>
        <w:jc w:val="both"/>
        <w:rPr>
          <w:rFonts w:ascii="Tahoma" w:hAnsi="Tahoma" w:cs="Tahoma"/>
          <w:sz w:val="22"/>
        </w:rPr>
      </w:pPr>
      <w:r w:rsidRPr="00D51BA7">
        <w:rPr>
          <w:rFonts w:ascii="Tahoma" w:hAnsi="Tahoma" w:cs="Tahoma"/>
          <w:sz w:val="22"/>
          <w:lang w:val="fr-FR"/>
        </w:rPr>
        <w:t>1 Department of Obstetrics and Gynecology, Kaohsiung Veterans General Hospital, Kaohsiung, Taiwan;</w:t>
      </w:r>
    </w:p>
    <w:p w14:paraId="1AEE184F" w14:textId="77777777" w:rsidR="00980198" w:rsidRPr="00D51BA7" w:rsidRDefault="00980198" w:rsidP="00980198">
      <w:pPr>
        <w:spacing w:line="360" w:lineRule="exact"/>
        <w:contextualSpacing/>
        <w:jc w:val="both"/>
        <w:rPr>
          <w:rFonts w:ascii="Tahoma" w:hAnsi="Tahoma" w:cs="Tahoma"/>
          <w:sz w:val="22"/>
        </w:rPr>
      </w:pPr>
      <w:r w:rsidRPr="00D51BA7">
        <w:rPr>
          <w:rFonts w:ascii="Tahoma" w:hAnsi="Tahoma" w:cs="Tahoma"/>
          <w:sz w:val="22"/>
        </w:rPr>
        <w:t xml:space="preserve">2 Department of Surgery, Kaohsiung Veterans General Hospital, Kaohsiung, </w:t>
      </w:r>
      <w:proofErr w:type="gramStart"/>
      <w:r w:rsidRPr="00D51BA7">
        <w:rPr>
          <w:rFonts w:ascii="Tahoma" w:hAnsi="Tahoma" w:cs="Tahoma"/>
          <w:sz w:val="22"/>
        </w:rPr>
        <w:t>Taiwan;</w:t>
      </w:r>
      <w:proofErr w:type="gramEnd"/>
    </w:p>
    <w:p w14:paraId="3B2756A2" w14:textId="77777777" w:rsidR="00980198" w:rsidRPr="00D51BA7" w:rsidRDefault="00980198" w:rsidP="00980198">
      <w:pPr>
        <w:spacing w:line="360" w:lineRule="exact"/>
        <w:contextualSpacing/>
        <w:jc w:val="both"/>
        <w:rPr>
          <w:rFonts w:ascii="Tahoma" w:hAnsi="Tahoma" w:cs="Tahoma"/>
          <w:sz w:val="22"/>
        </w:rPr>
      </w:pPr>
      <w:r w:rsidRPr="00D51BA7">
        <w:rPr>
          <w:rFonts w:ascii="Tahoma" w:hAnsi="Tahoma" w:cs="Tahoma"/>
          <w:sz w:val="22"/>
          <w:lang w:val="fr-FR"/>
        </w:rPr>
        <w:t xml:space="preserve">3 Department of Pathology, Show Chwan Memorial Hospital, Changhua, Taiwan; </w:t>
      </w:r>
    </w:p>
    <w:p w14:paraId="6F3346B6" w14:textId="77777777" w:rsidR="00980198" w:rsidRPr="00D51BA7" w:rsidRDefault="00980198" w:rsidP="00980198">
      <w:pPr>
        <w:spacing w:line="360" w:lineRule="exact"/>
        <w:contextualSpacing/>
        <w:jc w:val="both"/>
        <w:rPr>
          <w:rFonts w:ascii="Tahoma" w:hAnsi="Tahoma" w:cs="Tahoma"/>
          <w:sz w:val="22"/>
        </w:rPr>
      </w:pPr>
      <w:r w:rsidRPr="00D51BA7">
        <w:rPr>
          <w:rFonts w:ascii="Tahoma" w:hAnsi="Tahoma" w:cs="Tahoma"/>
          <w:sz w:val="22"/>
        </w:rPr>
        <w:t xml:space="preserve">4 Comprehensive Breast Health Center, Taipei Veterans General Hospital, Taipei, </w:t>
      </w:r>
      <w:proofErr w:type="gramStart"/>
      <w:r w:rsidRPr="00D51BA7">
        <w:rPr>
          <w:rFonts w:ascii="Tahoma" w:hAnsi="Tahoma" w:cs="Tahoma"/>
          <w:sz w:val="22"/>
          <w:lang w:val="fr-FR"/>
        </w:rPr>
        <w:t>Taiwan;</w:t>
      </w:r>
      <w:proofErr w:type="gramEnd"/>
    </w:p>
    <w:p w14:paraId="1D2CA75C" w14:textId="77777777" w:rsidR="00980198" w:rsidRPr="00D51BA7" w:rsidRDefault="00980198" w:rsidP="00980198">
      <w:pPr>
        <w:spacing w:line="360" w:lineRule="exact"/>
        <w:contextualSpacing/>
        <w:jc w:val="both"/>
        <w:rPr>
          <w:rFonts w:ascii="Tahoma" w:hAnsi="Tahoma" w:cs="Tahoma"/>
          <w:sz w:val="22"/>
        </w:rPr>
      </w:pPr>
      <w:r w:rsidRPr="00D51BA7">
        <w:rPr>
          <w:rFonts w:ascii="Tahoma" w:hAnsi="Tahoma" w:cs="Tahoma"/>
          <w:sz w:val="22"/>
        </w:rPr>
        <w:t>5 Division of Breast Surgery, Department of Surgery; Center for Cancer Research, Kaohsiung Medical University Chung-Ho Memorial Hospital, Kaohsiung, Taiwan.</w:t>
      </w:r>
    </w:p>
    <w:p w14:paraId="672C201A" w14:textId="36EFC3D7" w:rsidR="00BF453E" w:rsidRPr="00D51BA7" w:rsidRDefault="00BF453E" w:rsidP="00980198">
      <w:pPr>
        <w:spacing w:line="360" w:lineRule="exact"/>
        <w:contextualSpacing/>
        <w:jc w:val="both"/>
        <w:rPr>
          <w:rFonts w:ascii="Tahoma" w:hAnsi="Tahoma" w:cs="Tahoma"/>
          <w:szCs w:val="24"/>
        </w:rPr>
      </w:pPr>
    </w:p>
    <w:p w14:paraId="4D0E705B" w14:textId="44E23F47" w:rsidR="00980198" w:rsidRPr="007F7B0A" w:rsidRDefault="00980198" w:rsidP="00980198">
      <w:pPr>
        <w:spacing w:line="360" w:lineRule="exact"/>
        <w:contextualSpacing/>
        <w:jc w:val="both"/>
        <w:rPr>
          <w:rFonts w:ascii="Tahoma" w:hAnsi="Tahoma" w:cs="Tahoma"/>
          <w:b/>
          <w:bCs/>
          <w:sz w:val="22"/>
        </w:rPr>
      </w:pPr>
      <w:r w:rsidRPr="007F7B0A">
        <w:rPr>
          <w:rFonts w:ascii="Tahoma" w:hAnsi="Tahoma" w:cs="Tahoma"/>
          <w:b/>
          <w:bCs/>
          <w:sz w:val="22"/>
        </w:rPr>
        <w:t>Purpose</w:t>
      </w:r>
    </w:p>
    <w:bookmarkEnd w:id="0"/>
    <w:p w14:paraId="4C0E215F" w14:textId="77777777" w:rsidR="00676E23" w:rsidRPr="00676E23" w:rsidRDefault="00676E23" w:rsidP="00676E23">
      <w:pPr>
        <w:spacing w:line="360" w:lineRule="exact"/>
        <w:contextualSpacing/>
        <w:jc w:val="both"/>
        <w:rPr>
          <w:rFonts w:ascii="Tahoma" w:hAnsi="Tahoma" w:cs="Tahoma"/>
          <w:sz w:val="22"/>
        </w:rPr>
      </w:pPr>
      <w:r w:rsidRPr="00676E23">
        <w:rPr>
          <w:rFonts w:ascii="Tahoma" w:hAnsi="Tahoma" w:cs="Tahoma"/>
          <w:sz w:val="22"/>
        </w:rPr>
        <w:t xml:space="preserve">This study investigates the metabolic alterations associated with breast cancer progression and elucidates the underlying mechanisms. Adenine nucleotide translocase 2 (ANT2), a mitochondrial protein essential for cellular energy metabolism, facilitates the exchange of ADP and ATP across the inner mitochondrial membrane. The role of ANT2, particularly its interaction with the ATP </w:t>
      </w:r>
      <w:proofErr w:type="spellStart"/>
      <w:r w:rsidRPr="00676E23">
        <w:rPr>
          <w:rFonts w:ascii="Tahoma" w:hAnsi="Tahoma" w:cs="Tahoma"/>
          <w:sz w:val="22"/>
        </w:rPr>
        <w:t>synthasome</w:t>
      </w:r>
      <w:proofErr w:type="spellEnd"/>
      <w:r w:rsidRPr="00676E23">
        <w:rPr>
          <w:rFonts w:ascii="Tahoma" w:hAnsi="Tahoma" w:cs="Tahoma"/>
          <w:sz w:val="22"/>
        </w:rPr>
        <w:t>, in breast cancer metastasis remains poorly understood.</w:t>
      </w:r>
    </w:p>
    <w:p w14:paraId="55230D95" w14:textId="77777777" w:rsidR="00676E23" w:rsidRPr="00676E23" w:rsidRDefault="00676E23" w:rsidP="00676E23">
      <w:pPr>
        <w:spacing w:line="360" w:lineRule="exact"/>
        <w:contextualSpacing/>
        <w:jc w:val="both"/>
        <w:rPr>
          <w:rFonts w:ascii="Tahoma" w:hAnsi="Tahoma" w:cs="Tahoma"/>
          <w:sz w:val="22"/>
        </w:rPr>
      </w:pPr>
    </w:p>
    <w:p w14:paraId="231F52E3" w14:textId="0AE18358" w:rsidR="004573B6" w:rsidRPr="004573B6" w:rsidRDefault="004573B6" w:rsidP="004573B6">
      <w:pPr>
        <w:spacing w:line="360" w:lineRule="exact"/>
        <w:contextualSpacing/>
        <w:jc w:val="both"/>
        <w:rPr>
          <w:rFonts w:ascii="Tahoma" w:hAnsi="Tahoma" w:cs="Tahoma"/>
          <w:b/>
          <w:bCs/>
          <w:sz w:val="22"/>
        </w:rPr>
      </w:pPr>
      <w:r w:rsidRPr="004573B6">
        <w:rPr>
          <w:rFonts w:ascii="Tahoma" w:hAnsi="Tahoma" w:cs="Tahoma"/>
          <w:b/>
          <w:bCs/>
          <w:sz w:val="22"/>
        </w:rPr>
        <w:t>Materials and Methods</w:t>
      </w:r>
    </w:p>
    <w:p w14:paraId="03BB9E0B" w14:textId="77777777" w:rsidR="004573B6" w:rsidRPr="004573B6" w:rsidRDefault="004573B6" w:rsidP="004573B6">
      <w:pPr>
        <w:spacing w:line="360" w:lineRule="exact"/>
        <w:contextualSpacing/>
        <w:jc w:val="both"/>
        <w:rPr>
          <w:rFonts w:ascii="Tahoma" w:hAnsi="Tahoma" w:cs="Tahoma"/>
          <w:sz w:val="22"/>
        </w:rPr>
      </w:pPr>
      <w:r w:rsidRPr="004573B6">
        <w:rPr>
          <w:rFonts w:ascii="Tahoma" w:hAnsi="Tahoma" w:cs="Tahoma"/>
          <w:sz w:val="22"/>
        </w:rPr>
        <w:t>We analyzed ANT2 in breast cancer using genetic and clinical methods, validating its expression in human tissues. Gene enrichment studies and functional assays assessed ANT2's role in mitochondrial function and cancer metabolism. Knockdown experiments and pharmacogenomic screening evaluated ANT2's impact on metastasis and identified potential inhibitors in 3D cultures.</w:t>
      </w:r>
    </w:p>
    <w:p w14:paraId="4FAABBBA" w14:textId="77777777" w:rsidR="004573B6" w:rsidRPr="004573B6" w:rsidRDefault="004573B6" w:rsidP="004573B6">
      <w:pPr>
        <w:spacing w:line="360" w:lineRule="exact"/>
        <w:contextualSpacing/>
        <w:jc w:val="both"/>
        <w:rPr>
          <w:rFonts w:ascii="Tahoma" w:hAnsi="Tahoma" w:cs="Tahoma"/>
          <w:sz w:val="22"/>
        </w:rPr>
      </w:pPr>
    </w:p>
    <w:p w14:paraId="63F09D18" w14:textId="0878732E" w:rsidR="004573B6" w:rsidRPr="004573B6" w:rsidRDefault="004573B6" w:rsidP="004573B6">
      <w:pPr>
        <w:spacing w:line="360" w:lineRule="exact"/>
        <w:contextualSpacing/>
        <w:jc w:val="both"/>
        <w:rPr>
          <w:rFonts w:ascii="Tahoma" w:hAnsi="Tahoma" w:cs="Tahoma"/>
          <w:b/>
          <w:bCs/>
          <w:sz w:val="22"/>
        </w:rPr>
      </w:pPr>
      <w:r w:rsidRPr="004573B6">
        <w:rPr>
          <w:rFonts w:ascii="Tahoma" w:hAnsi="Tahoma" w:cs="Tahoma"/>
          <w:b/>
          <w:bCs/>
          <w:sz w:val="22"/>
        </w:rPr>
        <w:t>Results</w:t>
      </w:r>
    </w:p>
    <w:p w14:paraId="21ECD6D4" w14:textId="03D7F694" w:rsidR="004573B6" w:rsidRDefault="004573B6" w:rsidP="004573B6">
      <w:pPr>
        <w:spacing w:line="360" w:lineRule="exact"/>
        <w:contextualSpacing/>
        <w:jc w:val="both"/>
        <w:rPr>
          <w:rFonts w:ascii="Tahoma" w:hAnsi="Tahoma" w:cs="Tahoma"/>
          <w:sz w:val="22"/>
        </w:rPr>
      </w:pPr>
      <w:r w:rsidRPr="004573B6">
        <w:rPr>
          <w:rFonts w:ascii="Tahoma" w:hAnsi="Tahoma" w:cs="Tahoma"/>
          <w:sz w:val="22"/>
        </w:rPr>
        <w:t xml:space="preserve">Our analysis revealed that ANT2 expression is significantly elevated in breast cancer patients with lymph node metastasis, correlating with decreased survival rates. ANT2 was found to enhance energy flux and metastasis in breast cancer by promoting ATP production through oxidative phosphorylation. Inhibition of ANT2 effectively reduced breast cancer cell growth and metastasis, attributed to the disrupted binding of transcription factors CREB1 and Zeb1 to the ANT2 promoter. Pharmacogenomic analysis identified </w:t>
      </w:r>
      <w:proofErr w:type="spellStart"/>
      <w:r w:rsidRPr="004573B6">
        <w:rPr>
          <w:rFonts w:ascii="Tahoma" w:hAnsi="Tahoma" w:cs="Tahoma"/>
          <w:sz w:val="22"/>
        </w:rPr>
        <w:t>cymarin</w:t>
      </w:r>
      <w:proofErr w:type="spellEnd"/>
      <w:r w:rsidRPr="004573B6">
        <w:rPr>
          <w:rFonts w:ascii="Tahoma" w:hAnsi="Tahoma" w:cs="Tahoma"/>
          <w:sz w:val="22"/>
        </w:rPr>
        <w:t xml:space="preserve"> as a potential small molecule inhibitor, which effectively reduced spheroid formation by breast cancer cells in a 3D culture system and showed similar efficacy in orthotopic breast cancer models in mice.</w:t>
      </w:r>
    </w:p>
    <w:p w14:paraId="21EBDAFD" w14:textId="77777777" w:rsidR="004573B6" w:rsidRPr="004573B6" w:rsidRDefault="004573B6" w:rsidP="004573B6">
      <w:pPr>
        <w:spacing w:line="360" w:lineRule="exact"/>
        <w:contextualSpacing/>
        <w:jc w:val="both"/>
        <w:rPr>
          <w:rFonts w:ascii="Tahoma" w:hAnsi="Tahoma" w:cs="Tahoma"/>
          <w:sz w:val="22"/>
        </w:rPr>
      </w:pPr>
    </w:p>
    <w:p w14:paraId="15FA3F09" w14:textId="0FE765A2" w:rsidR="004573B6" w:rsidRPr="004573B6" w:rsidRDefault="004573B6" w:rsidP="004573B6">
      <w:pPr>
        <w:spacing w:line="360" w:lineRule="exact"/>
        <w:contextualSpacing/>
        <w:jc w:val="both"/>
        <w:rPr>
          <w:rFonts w:ascii="Tahoma" w:hAnsi="Tahoma" w:cs="Tahoma"/>
          <w:b/>
          <w:bCs/>
          <w:sz w:val="22"/>
        </w:rPr>
      </w:pPr>
      <w:r w:rsidRPr="004573B6">
        <w:rPr>
          <w:rFonts w:ascii="Tahoma" w:hAnsi="Tahoma" w:cs="Tahoma"/>
          <w:b/>
          <w:bCs/>
          <w:sz w:val="22"/>
        </w:rPr>
        <w:t>Conclusion</w:t>
      </w:r>
    </w:p>
    <w:p w14:paraId="5CACDBE9" w14:textId="3C5102B4" w:rsidR="00980198" w:rsidRPr="004573B6" w:rsidRDefault="004573B6" w:rsidP="004573B6">
      <w:pPr>
        <w:spacing w:line="360" w:lineRule="exact"/>
        <w:contextualSpacing/>
        <w:jc w:val="both"/>
        <w:rPr>
          <w:rFonts w:ascii="Tahoma" w:hAnsi="Tahoma" w:cs="Tahoma"/>
          <w:sz w:val="22"/>
        </w:rPr>
      </w:pPr>
      <w:r w:rsidRPr="004573B6">
        <w:rPr>
          <w:rFonts w:ascii="Tahoma" w:hAnsi="Tahoma" w:cs="Tahoma"/>
          <w:sz w:val="22"/>
        </w:rPr>
        <w:t>ANT2 plays a critical role in breast cancer progression and metastasis through CREB1/Zeb1 regulation. ANT2 could serve as a diagnostic biomarker and therapeutic target in breast cancer treatment.</w:t>
      </w:r>
    </w:p>
    <w:sectPr w:rsidR="00980198" w:rsidRPr="004573B6" w:rsidSect="00C61745">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D1BAB" w14:textId="77777777" w:rsidR="008D7E72" w:rsidRDefault="008D7E72" w:rsidP="008D7E72">
      <w:r>
        <w:separator/>
      </w:r>
    </w:p>
  </w:endnote>
  <w:endnote w:type="continuationSeparator" w:id="0">
    <w:p w14:paraId="79FAB95F" w14:textId="77777777" w:rsidR="008D7E72" w:rsidRDefault="008D7E72" w:rsidP="008D7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E1962" w14:textId="77777777" w:rsidR="008D7E72" w:rsidRDefault="008D7E72" w:rsidP="008D7E72">
      <w:r>
        <w:separator/>
      </w:r>
    </w:p>
  </w:footnote>
  <w:footnote w:type="continuationSeparator" w:id="0">
    <w:p w14:paraId="41EA96E7" w14:textId="77777777" w:rsidR="008D7E72" w:rsidRDefault="008D7E72" w:rsidP="008D7E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745"/>
    <w:rsid w:val="00047043"/>
    <w:rsid w:val="000D2A4E"/>
    <w:rsid w:val="001F0D3C"/>
    <w:rsid w:val="00295DC0"/>
    <w:rsid w:val="002E44DE"/>
    <w:rsid w:val="0032096B"/>
    <w:rsid w:val="003254D3"/>
    <w:rsid w:val="00354B34"/>
    <w:rsid w:val="003811C1"/>
    <w:rsid w:val="003D3627"/>
    <w:rsid w:val="00411CD1"/>
    <w:rsid w:val="004573B6"/>
    <w:rsid w:val="004A6E01"/>
    <w:rsid w:val="004D6D82"/>
    <w:rsid w:val="00500B61"/>
    <w:rsid w:val="00525883"/>
    <w:rsid w:val="005632DC"/>
    <w:rsid w:val="00582AE7"/>
    <w:rsid w:val="00594EF2"/>
    <w:rsid w:val="005B7DC0"/>
    <w:rsid w:val="005D35A2"/>
    <w:rsid w:val="005F48E4"/>
    <w:rsid w:val="00621730"/>
    <w:rsid w:val="006305D6"/>
    <w:rsid w:val="00663994"/>
    <w:rsid w:val="00676E23"/>
    <w:rsid w:val="006A507D"/>
    <w:rsid w:val="006F05A2"/>
    <w:rsid w:val="00727349"/>
    <w:rsid w:val="00754594"/>
    <w:rsid w:val="007F7B0A"/>
    <w:rsid w:val="00804890"/>
    <w:rsid w:val="00826EAF"/>
    <w:rsid w:val="0087689E"/>
    <w:rsid w:val="008B0E6A"/>
    <w:rsid w:val="008D7E72"/>
    <w:rsid w:val="00941A4F"/>
    <w:rsid w:val="00951933"/>
    <w:rsid w:val="00961093"/>
    <w:rsid w:val="00980198"/>
    <w:rsid w:val="009A3830"/>
    <w:rsid w:val="00A3711A"/>
    <w:rsid w:val="00AA464C"/>
    <w:rsid w:val="00B47CA3"/>
    <w:rsid w:val="00B53BBC"/>
    <w:rsid w:val="00B9314F"/>
    <w:rsid w:val="00BC6AAE"/>
    <w:rsid w:val="00BF453E"/>
    <w:rsid w:val="00C145FA"/>
    <w:rsid w:val="00C37669"/>
    <w:rsid w:val="00C61745"/>
    <w:rsid w:val="00C7026F"/>
    <w:rsid w:val="00CE47CE"/>
    <w:rsid w:val="00CE4801"/>
    <w:rsid w:val="00D001DB"/>
    <w:rsid w:val="00D5190F"/>
    <w:rsid w:val="00D51BA7"/>
    <w:rsid w:val="00D537AF"/>
    <w:rsid w:val="00DB2556"/>
    <w:rsid w:val="00DC7D09"/>
    <w:rsid w:val="00E04F31"/>
    <w:rsid w:val="00E32EA4"/>
    <w:rsid w:val="00E760E8"/>
    <w:rsid w:val="00EC7798"/>
    <w:rsid w:val="00EE1111"/>
    <w:rsid w:val="00F02BAE"/>
    <w:rsid w:val="00F03DCC"/>
    <w:rsid w:val="00F51C02"/>
    <w:rsid w:val="00FD7C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AD466B"/>
  <w15:chartTrackingRefBased/>
  <w15:docId w15:val="{A9F3C9B7-F0B8-41BD-A0AF-F71768841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E72"/>
    <w:pPr>
      <w:tabs>
        <w:tab w:val="center" w:pos="4153"/>
        <w:tab w:val="right" w:pos="8306"/>
      </w:tabs>
      <w:snapToGrid w:val="0"/>
    </w:pPr>
    <w:rPr>
      <w:sz w:val="20"/>
      <w:szCs w:val="20"/>
    </w:rPr>
  </w:style>
  <w:style w:type="character" w:customStyle="1" w:styleId="a4">
    <w:name w:val="頁首 字元"/>
    <w:basedOn w:val="a0"/>
    <w:link w:val="a3"/>
    <w:uiPriority w:val="99"/>
    <w:rsid w:val="008D7E72"/>
    <w:rPr>
      <w:sz w:val="20"/>
      <w:szCs w:val="20"/>
    </w:rPr>
  </w:style>
  <w:style w:type="paragraph" w:styleId="a5">
    <w:name w:val="footer"/>
    <w:basedOn w:val="a"/>
    <w:link w:val="a6"/>
    <w:uiPriority w:val="99"/>
    <w:unhideWhenUsed/>
    <w:rsid w:val="008D7E72"/>
    <w:pPr>
      <w:tabs>
        <w:tab w:val="center" w:pos="4153"/>
        <w:tab w:val="right" w:pos="8306"/>
      </w:tabs>
      <w:snapToGrid w:val="0"/>
    </w:pPr>
    <w:rPr>
      <w:sz w:val="20"/>
      <w:szCs w:val="20"/>
    </w:rPr>
  </w:style>
  <w:style w:type="character" w:customStyle="1" w:styleId="a6">
    <w:name w:val="頁尾 字元"/>
    <w:basedOn w:val="a0"/>
    <w:link w:val="a5"/>
    <w:uiPriority w:val="99"/>
    <w:rsid w:val="008D7E7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212493">
      <w:bodyDiv w:val="1"/>
      <w:marLeft w:val="0"/>
      <w:marRight w:val="0"/>
      <w:marTop w:val="0"/>
      <w:marBottom w:val="0"/>
      <w:divBdr>
        <w:top w:val="none" w:sz="0" w:space="0" w:color="auto"/>
        <w:left w:val="none" w:sz="0" w:space="0" w:color="auto"/>
        <w:bottom w:val="none" w:sz="0" w:space="0" w:color="auto"/>
        <w:right w:val="none" w:sz="0" w:space="0" w:color="auto"/>
      </w:divBdr>
    </w:div>
    <w:div w:id="449083620">
      <w:bodyDiv w:val="1"/>
      <w:marLeft w:val="0"/>
      <w:marRight w:val="0"/>
      <w:marTop w:val="0"/>
      <w:marBottom w:val="0"/>
      <w:divBdr>
        <w:top w:val="none" w:sz="0" w:space="0" w:color="auto"/>
        <w:left w:val="none" w:sz="0" w:space="0" w:color="auto"/>
        <w:bottom w:val="none" w:sz="0" w:space="0" w:color="auto"/>
        <w:right w:val="none" w:sz="0" w:space="0" w:color="auto"/>
      </w:divBdr>
    </w:div>
    <w:div w:id="462777009">
      <w:bodyDiv w:val="1"/>
      <w:marLeft w:val="0"/>
      <w:marRight w:val="0"/>
      <w:marTop w:val="0"/>
      <w:marBottom w:val="0"/>
      <w:divBdr>
        <w:top w:val="none" w:sz="0" w:space="0" w:color="auto"/>
        <w:left w:val="none" w:sz="0" w:space="0" w:color="auto"/>
        <w:bottom w:val="none" w:sz="0" w:space="0" w:color="auto"/>
        <w:right w:val="none" w:sz="0" w:space="0" w:color="auto"/>
      </w:divBdr>
    </w:div>
    <w:div w:id="90683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2122</Characters>
  <Application>Microsoft Office Word</Application>
  <DocSecurity>0</DocSecurity>
  <Lines>17</Lines>
  <Paragraphs>4</Paragraphs>
  <ScaleCrop>false</ScaleCrop>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CHU</dc:creator>
  <cp:keywords/>
  <dc:description/>
  <cp:lastModifiedBy>SOPHIA CHU</cp:lastModifiedBy>
  <cp:revision>17</cp:revision>
  <dcterms:created xsi:type="dcterms:W3CDTF">2022-08-15T07:13:00Z</dcterms:created>
  <dcterms:modified xsi:type="dcterms:W3CDTF">2024-07-18T07:44:00Z</dcterms:modified>
</cp:coreProperties>
</file>