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12D40" w14:textId="77777777" w:rsidR="00A55E9C" w:rsidRPr="007E6E90" w:rsidRDefault="00C44E7C" w:rsidP="00C44E7C">
      <w:pPr>
        <w:snapToGrid w:val="0"/>
        <w:spacing w:line="360" w:lineRule="exact"/>
        <w:jc w:val="both"/>
        <w:rPr>
          <w:rFonts w:ascii="Tahoma" w:eastAsia="華康細圓體" w:hAnsi="Tahoma" w:cs="Tahoma"/>
          <w:b/>
          <w:sz w:val="28"/>
          <w:szCs w:val="28"/>
        </w:rPr>
      </w:pPr>
      <w:r>
        <w:rPr>
          <w:rFonts w:ascii="Tahoma" w:eastAsia="華康細圓體" w:hAnsi="Tahoma" w:cs="Tahoma" w:hint="eastAsia"/>
          <w:b/>
          <w:sz w:val="28"/>
          <w:szCs w:val="28"/>
          <w:bdr w:val="single" w:sz="4" w:space="0" w:color="auto"/>
        </w:rPr>
        <w:t>Ab</w:t>
      </w:r>
      <w:r>
        <w:rPr>
          <w:rFonts w:ascii="Tahoma" w:eastAsia="華康細圓體" w:hAnsi="Tahoma" w:cs="Tahoma"/>
          <w:b/>
          <w:sz w:val="28"/>
          <w:szCs w:val="28"/>
          <w:bdr w:val="single" w:sz="4" w:space="0" w:color="auto"/>
        </w:rPr>
        <w:t xml:space="preserve">stract </w:t>
      </w:r>
      <w:r>
        <w:rPr>
          <w:rFonts w:ascii="Tahoma" w:eastAsia="華康細圓體" w:hAnsi="Tahoma" w:cs="Tahoma" w:hint="eastAsia"/>
          <w:b/>
          <w:sz w:val="28"/>
          <w:szCs w:val="28"/>
          <w:bdr w:val="single" w:sz="4" w:space="0" w:color="auto"/>
        </w:rPr>
        <w:t>f</w:t>
      </w:r>
      <w:r>
        <w:rPr>
          <w:rFonts w:ascii="Tahoma" w:eastAsia="華康細圓體" w:hAnsi="Tahoma" w:cs="Tahoma"/>
          <w:b/>
          <w:sz w:val="28"/>
          <w:szCs w:val="28"/>
          <w:bdr w:val="single" w:sz="4" w:space="0" w:color="auto"/>
        </w:rPr>
        <w:t>orm</w:t>
      </w:r>
    </w:p>
    <w:p w14:paraId="5F41D806" w14:textId="5E363E81" w:rsidR="00A55E9C" w:rsidRPr="007E6E90" w:rsidRDefault="00766FAB" w:rsidP="00C44E7C">
      <w:pPr>
        <w:pStyle w:val="a4"/>
        <w:spacing w:before="360" w:after="180" w:line="360" w:lineRule="exact"/>
        <w:rPr>
          <w:rFonts w:ascii="Tahoma" w:eastAsia="華康細圓體" w:hAnsi="Tahoma" w:cs="Tahoma"/>
          <w:sz w:val="28"/>
          <w:szCs w:val="28"/>
        </w:rPr>
      </w:pPr>
      <w:r w:rsidRPr="00766FAB">
        <w:rPr>
          <w:rFonts w:ascii="Tahoma" w:eastAsia="華康細圓體" w:hAnsi="Tahoma" w:cs="Tahoma"/>
          <w:sz w:val="28"/>
          <w:szCs w:val="28"/>
        </w:rPr>
        <w:t xml:space="preserve">Prognostic </w:t>
      </w:r>
      <w:r>
        <w:rPr>
          <w:rFonts w:ascii="Tahoma" w:eastAsia="華康細圓體" w:hAnsi="Tahoma" w:cs="Tahoma"/>
          <w:sz w:val="28"/>
          <w:szCs w:val="28"/>
        </w:rPr>
        <w:t xml:space="preserve">effects </w:t>
      </w:r>
      <w:r w:rsidRPr="00766FAB">
        <w:rPr>
          <w:rFonts w:ascii="Tahoma" w:eastAsia="華康細圓體" w:hAnsi="Tahoma" w:cs="Tahoma"/>
          <w:sz w:val="28"/>
          <w:szCs w:val="28"/>
        </w:rPr>
        <w:t xml:space="preserve">of </w:t>
      </w:r>
      <w:r w:rsidRPr="00766FAB">
        <w:rPr>
          <w:rFonts w:ascii="Tahoma" w:eastAsia="華康細圓體" w:hAnsi="Tahoma" w:cs="Tahoma"/>
          <w:i/>
          <w:sz w:val="28"/>
          <w:szCs w:val="28"/>
        </w:rPr>
        <w:t>ABCB1</w:t>
      </w:r>
      <w:r w:rsidRPr="00766FAB">
        <w:rPr>
          <w:rFonts w:ascii="Tahoma" w:eastAsia="華康細圓體" w:hAnsi="Tahoma" w:cs="Tahoma"/>
          <w:sz w:val="28"/>
          <w:szCs w:val="28"/>
        </w:rPr>
        <w:t xml:space="preserve"> and </w:t>
      </w:r>
      <w:r w:rsidRPr="00766FAB">
        <w:rPr>
          <w:rFonts w:ascii="Tahoma" w:eastAsia="華康細圓體" w:hAnsi="Tahoma" w:cs="Tahoma"/>
          <w:i/>
          <w:sz w:val="28"/>
          <w:szCs w:val="28"/>
        </w:rPr>
        <w:t>TMEM14B</w:t>
      </w:r>
      <w:r w:rsidRPr="00766FAB">
        <w:rPr>
          <w:rFonts w:ascii="Tahoma" w:eastAsia="華康細圓體" w:hAnsi="Tahoma" w:cs="Tahoma"/>
          <w:sz w:val="28"/>
          <w:szCs w:val="28"/>
        </w:rPr>
        <w:t xml:space="preserve"> </w:t>
      </w:r>
      <w:r w:rsidR="006348D0">
        <w:rPr>
          <w:rFonts w:ascii="Tahoma" w:eastAsia="華康細圓體" w:hAnsi="Tahoma" w:cs="Tahoma"/>
          <w:sz w:val="28"/>
          <w:szCs w:val="28"/>
        </w:rPr>
        <w:t>e</w:t>
      </w:r>
      <w:r w:rsidRPr="00766FAB">
        <w:rPr>
          <w:rFonts w:ascii="Tahoma" w:eastAsia="華康細圓體" w:hAnsi="Tahoma" w:cs="Tahoma"/>
          <w:sz w:val="28"/>
          <w:szCs w:val="28"/>
        </w:rPr>
        <w:t xml:space="preserve">xpression in </w:t>
      </w:r>
      <w:r w:rsidR="006348D0">
        <w:rPr>
          <w:rFonts w:ascii="Tahoma" w:eastAsia="華康細圓體" w:hAnsi="Tahoma" w:cs="Tahoma"/>
          <w:sz w:val="28"/>
          <w:szCs w:val="28"/>
        </w:rPr>
        <w:t>t</w:t>
      </w:r>
      <w:r w:rsidRPr="00766FAB">
        <w:rPr>
          <w:rFonts w:ascii="Tahoma" w:eastAsia="華康細圓體" w:hAnsi="Tahoma" w:cs="Tahoma"/>
          <w:sz w:val="28"/>
          <w:szCs w:val="28"/>
        </w:rPr>
        <w:t>riple-</w:t>
      </w:r>
      <w:r w:rsidR="006348D0">
        <w:rPr>
          <w:rFonts w:ascii="Tahoma" w:eastAsia="華康細圓體" w:hAnsi="Tahoma" w:cs="Tahoma"/>
          <w:sz w:val="28"/>
          <w:szCs w:val="28"/>
        </w:rPr>
        <w:t>n</w:t>
      </w:r>
      <w:r w:rsidRPr="00766FAB">
        <w:rPr>
          <w:rFonts w:ascii="Tahoma" w:eastAsia="華康細圓體" w:hAnsi="Tahoma" w:cs="Tahoma"/>
          <w:sz w:val="28"/>
          <w:szCs w:val="28"/>
        </w:rPr>
        <w:t xml:space="preserve">egative </w:t>
      </w:r>
      <w:r w:rsidR="006348D0">
        <w:rPr>
          <w:rFonts w:ascii="Tahoma" w:eastAsia="華康細圓體" w:hAnsi="Tahoma" w:cs="Tahoma"/>
          <w:sz w:val="28"/>
          <w:szCs w:val="28"/>
        </w:rPr>
        <w:t>b</w:t>
      </w:r>
      <w:r w:rsidRPr="00766FAB">
        <w:rPr>
          <w:rFonts w:ascii="Tahoma" w:eastAsia="華康細圓體" w:hAnsi="Tahoma" w:cs="Tahoma"/>
          <w:sz w:val="28"/>
          <w:szCs w:val="28"/>
        </w:rPr>
        <w:t xml:space="preserve">reast </w:t>
      </w:r>
      <w:r w:rsidR="006348D0">
        <w:rPr>
          <w:rFonts w:ascii="Tahoma" w:eastAsia="華康細圓體" w:hAnsi="Tahoma" w:cs="Tahoma"/>
          <w:sz w:val="28"/>
          <w:szCs w:val="28"/>
        </w:rPr>
        <w:t>c</w:t>
      </w:r>
      <w:r w:rsidRPr="00766FAB">
        <w:rPr>
          <w:rFonts w:ascii="Tahoma" w:eastAsia="華康細圓體" w:hAnsi="Tahoma" w:cs="Tahoma"/>
          <w:sz w:val="28"/>
          <w:szCs w:val="28"/>
        </w:rPr>
        <w:t>ancer</w:t>
      </w:r>
    </w:p>
    <w:p w14:paraId="0B33610B" w14:textId="3C4B3541" w:rsidR="00520581" w:rsidRPr="00520581" w:rsidRDefault="00C97FF7" w:rsidP="00520581">
      <w:pPr>
        <w:pStyle w:val="a4"/>
        <w:spacing w:line="360" w:lineRule="exact"/>
        <w:rPr>
          <w:rFonts w:ascii="Tahoma" w:hAnsi="Tahoma" w:cs="Tahoma"/>
          <w:sz w:val="22"/>
          <w:szCs w:val="22"/>
        </w:rPr>
      </w:pPr>
      <w:r>
        <w:rPr>
          <w:rFonts w:ascii="Tahoma" w:hAnsi="Tahoma" w:cs="Tahoma"/>
          <w:sz w:val="22"/>
          <w:szCs w:val="22"/>
          <w:u w:val="single"/>
        </w:rPr>
        <w:t>Chao-Ming Hung</w:t>
      </w:r>
      <w:r w:rsidR="00A55E9C" w:rsidRPr="00C44E7C">
        <w:rPr>
          <w:rFonts w:ascii="Tahoma" w:hAnsi="Tahoma" w:cs="Tahoma"/>
          <w:sz w:val="22"/>
          <w:szCs w:val="22"/>
        </w:rPr>
        <w:t>, M.D.</w:t>
      </w:r>
      <w:r>
        <w:rPr>
          <w:rFonts w:ascii="Tahoma" w:hAnsi="Tahoma" w:cs="Tahoma"/>
          <w:sz w:val="22"/>
          <w:szCs w:val="22"/>
        </w:rPr>
        <w:t>, Ph.D.</w:t>
      </w:r>
      <w:r w:rsidR="00A55E9C" w:rsidRPr="00C44E7C">
        <w:rPr>
          <w:rFonts w:ascii="Tahoma" w:hAnsi="Tahoma" w:cs="Tahoma"/>
          <w:sz w:val="22"/>
          <w:szCs w:val="22"/>
          <w:vertAlign w:val="superscript"/>
        </w:rPr>
        <w:t xml:space="preserve"> 1</w:t>
      </w:r>
      <w:r>
        <w:rPr>
          <w:rFonts w:ascii="Tahoma" w:hAnsi="Tahoma" w:cs="Tahoma"/>
          <w:sz w:val="22"/>
          <w:szCs w:val="22"/>
          <w:vertAlign w:val="superscript"/>
        </w:rPr>
        <w:t>,2</w:t>
      </w:r>
      <w:r w:rsidR="00A55E9C" w:rsidRPr="00C44E7C">
        <w:rPr>
          <w:rFonts w:ascii="Tahoma" w:hAnsi="Tahoma" w:cs="Tahoma"/>
          <w:sz w:val="22"/>
          <w:szCs w:val="22"/>
          <w:vertAlign w:val="superscript"/>
        </w:rPr>
        <w:t xml:space="preserve"> </w:t>
      </w:r>
      <w:r>
        <w:rPr>
          <w:rFonts w:ascii="Tahoma" w:hAnsi="Tahoma" w:cs="Tahoma"/>
          <w:sz w:val="22"/>
          <w:szCs w:val="22"/>
        </w:rPr>
        <w:t>Sin-Hua Moi</w:t>
      </w:r>
      <w:r w:rsidR="00A55E9C" w:rsidRPr="00C44E7C">
        <w:rPr>
          <w:rFonts w:ascii="Tahoma" w:hAnsi="Tahoma" w:cs="Tahoma"/>
          <w:sz w:val="22"/>
          <w:szCs w:val="22"/>
        </w:rPr>
        <w:t>, Ph.D.</w:t>
      </w:r>
      <w:r w:rsidR="00A55E9C" w:rsidRPr="00C44E7C">
        <w:rPr>
          <w:rFonts w:ascii="Tahoma" w:hAnsi="Tahoma" w:cs="Tahoma"/>
          <w:sz w:val="22"/>
          <w:szCs w:val="22"/>
          <w:vertAlign w:val="superscript"/>
        </w:rPr>
        <w:t xml:space="preserve"> </w:t>
      </w:r>
      <w:r>
        <w:rPr>
          <w:rFonts w:ascii="Tahoma" w:hAnsi="Tahoma" w:cs="Tahoma"/>
          <w:sz w:val="22"/>
          <w:szCs w:val="22"/>
          <w:vertAlign w:val="superscript"/>
        </w:rPr>
        <w:t>3,4,5</w:t>
      </w:r>
      <w:r w:rsidR="00F93F18">
        <w:rPr>
          <w:rFonts w:ascii="Tahoma" w:hAnsi="Tahoma" w:cs="Tahoma"/>
          <w:sz w:val="22"/>
          <w:szCs w:val="22"/>
          <w:vertAlign w:val="superscript"/>
        </w:rPr>
        <w:t>,*</w:t>
      </w:r>
      <w:r w:rsidR="00A55E9C" w:rsidRPr="00C44E7C">
        <w:rPr>
          <w:rFonts w:ascii="Tahoma" w:hAnsi="Tahoma" w:cs="Tahoma"/>
          <w:sz w:val="22"/>
          <w:szCs w:val="22"/>
          <w:vertAlign w:val="superscript"/>
        </w:rPr>
        <w:t xml:space="preserve"> </w:t>
      </w:r>
      <w:r w:rsidR="00A55E9C" w:rsidRPr="00C44E7C">
        <w:rPr>
          <w:rFonts w:ascii="Tahoma" w:hAnsi="Tahoma" w:cs="Tahoma"/>
          <w:sz w:val="22"/>
          <w:szCs w:val="22"/>
        </w:rPr>
        <w:t xml:space="preserve"> </w:t>
      </w:r>
    </w:p>
    <w:p w14:paraId="4D1E97BF" w14:textId="781986AF" w:rsidR="00520581" w:rsidRPr="00520581" w:rsidRDefault="00520581" w:rsidP="00520581">
      <w:pPr>
        <w:spacing w:line="360" w:lineRule="exact"/>
        <w:rPr>
          <w:rFonts w:ascii="Tahoma" w:eastAsia="標楷體" w:hAnsi="Tahoma" w:cs="Tahoma"/>
          <w:sz w:val="22"/>
          <w:szCs w:val="22"/>
        </w:rPr>
      </w:pPr>
      <w:r w:rsidRPr="00520581">
        <w:rPr>
          <w:rFonts w:ascii="Tahoma" w:eastAsia="標楷體" w:hAnsi="Tahoma" w:cs="Tahoma"/>
          <w:sz w:val="22"/>
          <w:szCs w:val="22"/>
          <w:vertAlign w:val="superscript"/>
        </w:rPr>
        <w:t>1</w:t>
      </w:r>
      <w:r w:rsidRPr="00520581">
        <w:rPr>
          <w:rFonts w:ascii="Tahoma" w:eastAsia="標楷體" w:hAnsi="Tahoma" w:cs="Tahoma"/>
          <w:sz w:val="22"/>
          <w:szCs w:val="22"/>
        </w:rPr>
        <w:t xml:space="preserve"> Department of General Surgery, E-Da Cancer Hospital, I-Shou University.</w:t>
      </w:r>
    </w:p>
    <w:p w14:paraId="2498E6FB" w14:textId="67855E4C" w:rsidR="00A55E9C" w:rsidRDefault="00520581" w:rsidP="00520581">
      <w:pPr>
        <w:spacing w:line="360" w:lineRule="exact"/>
        <w:rPr>
          <w:rFonts w:ascii="Tahoma" w:eastAsia="標楷體" w:hAnsi="Tahoma" w:cs="Tahoma"/>
          <w:sz w:val="22"/>
          <w:szCs w:val="22"/>
        </w:rPr>
      </w:pPr>
      <w:r w:rsidRPr="00520581">
        <w:rPr>
          <w:rFonts w:ascii="Tahoma" w:eastAsia="標楷體" w:hAnsi="Tahoma" w:cs="Tahoma"/>
          <w:sz w:val="22"/>
          <w:szCs w:val="22"/>
          <w:vertAlign w:val="superscript"/>
        </w:rPr>
        <w:t>2</w:t>
      </w:r>
      <w:r w:rsidRPr="00520581">
        <w:rPr>
          <w:rFonts w:ascii="Tahoma" w:eastAsia="標楷體" w:hAnsi="Tahoma" w:cs="Tahoma"/>
          <w:sz w:val="22"/>
          <w:szCs w:val="22"/>
        </w:rPr>
        <w:t xml:space="preserve"> School of Medicine, College of Medicine, I-Shou University.</w:t>
      </w:r>
    </w:p>
    <w:p w14:paraId="7B67F685" w14:textId="70F3AC73" w:rsidR="00520581" w:rsidRPr="00520581" w:rsidRDefault="00520581" w:rsidP="00520581">
      <w:pPr>
        <w:spacing w:line="360" w:lineRule="exact"/>
        <w:rPr>
          <w:rFonts w:ascii="Tahoma" w:eastAsia="標楷體" w:hAnsi="Tahoma" w:cs="Tahoma"/>
          <w:sz w:val="22"/>
          <w:szCs w:val="22"/>
        </w:rPr>
      </w:pPr>
      <w:r w:rsidRPr="00520581">
        <w:rPr>
          <w:rFonts w:ascii="Tahoma" w:eastAsia="標楷體" w:hAnsi="Tahoma" w:cs="Tahoma"/>
          <w:sz w:val="22"/>
          <w:szCs w:val="22"/>
          <w:vertAlign w:val="superscript"/>
        </w:rPr>
        <w:t>3</w:t>
      </w:r>
      <w:r w:rsidRPr="00520581">
        <w:rPr>
          <w:rFonts w:ascii="Tahoma" w:eastAsia="標楷體" w:hAnsi="Tahoma" w:cs="Tahoma"/>
          <w:sz w:val="22"/>
          <w:szCs w:val="22"/>
        </w:rPr>
        <w:t xml:space="preserve"> Graduate Institute of Clinical Medicine, College of Medicine, Kaohsiung Medical University </w:t>
      </w:r>
    </w:p>
    <w:p w14:paraId="5E694566" w14:textId="5838C3B9" w:rsidR="00520581" w:rsidRPr="00520581" w:rsidRDefault="00520581" w:rsidP="00520581">
      <w:pPr>
        <w:spacing w:line="360" w:lineRule="exact"/>
        <w:rPr>
          <w:rFonts w:ascii="Tahoma" w:eastAsia="標楷體" w:hAnsi="Tahoma" w:cs="Tahoma"/>
          <w:sz w:val="22"/>
          <w:szCs w:val="22"/>
        </w:rPr>
      </w:pPr>
      <w:r w:rsidRPr="00520581">
        <w:rPr>
          <w:rFonts w:ascii="Tahoma" w:eastAsia="標楷體" w:hAnsi="Tahoma" w:cs="Tahoma"/>
          <w:sz w:val="22"/>
          <w:szCs w:val="22"/>
          <w:vertAlign w:val="superscript"/>
        </w:rPr>
        <w:t>4</w:t>
      </w:r>
      <w:r w:rsidRPr="00520581">
        <w:rPr>
          <w:rFonts w:ascii="Tahoma" w:eastAsia="標楷體" w:hAnsi="Tahoma" w:cs="Tahoma"/>
          <w:sz w:val="22"/>
          <w:szCs w:val="22"/>
        </w:rPr>
        <w:t xml:space="preserve"> Research Center for Precision Environmental Medicine, Kaohsiung Medical University</w:t>
      </w:r>
    </w:p>
    <w:p w14:paraId="776FBF2C" w14:textId="4A3F3F3C" w:rsidR="00520581" w:rsidRPr="00520581" w:rsidRDefault="00520581" w:rsidP="00520581">
      <w:pPr>
        <w:spacing w:line="360" w:lineRule="exact"/>
        <w:rPr>
          <w:rFonts w:ascii="Tahoma" w:eastAsia="標楷體" w:hAnsi="Tahoma" w:cs="Tahoma"/>
          <w:sz w:val="22"/>
          <w:szCs w:val="22"/>
        </w:rPr>
      </w:pPr>
      <w:r>
        <w:rPr>
          <w:rFonts w:ascii="Tahoma" w:eastAsia="標楷體" w:hAnsi="Tahoma" w:cs="Tahoma"/>
          <w:sz w:val="22"/>
          <w:szCs w:val="22"/>
          <w:vertAlign w:val="superscript"/>
        </w:rPr>
        <w:t>5</w:t>
      </w:r>
      <w:r w:rsidRPr="00520581">
        <w:rPr>
          <w:rFonts w:ascii="Tahoma" w:eastAsia="標楷體" w:hAnsi="Tahoma" w:cs="Tahoma"/>
          <w:sz w:val="22"/>
          <w:szCs w:val="22"/>
        </w:rPr>
        <w:t xml:space="preserve"> Department of Medical Research, Kaohsiung Medical University Hospital, Kaohsiung Medical University</w:t>
      </w:r>
    </w:p>
    <w:p w14:paraId="348BD015" w14:textId="77777777" w:rsidR="00520581" w:rsidRPr="00520581" w:rsidRDefault="00520581" w:rsidP="00520581">
      <w:pPr>
        <w:spacing w:line="360" w:lineRule="exact"/>
        <w:rPr>
          <w:rFonts w:ascii="Tahoma" w:eastAsia="標楷體" w:hAnsi="Tahoma" w:cs="Tahoma"/>
          <w:sz w:val="22"/>
          <w:szCs w:val="22"/>
        </w:rPr>
      </w:pPr>
    </w:p>
    <w:p w14:paraId="18E1F6CA" w14:textId="77777777" w:rsidR="00A55E9C" w:rsidRPr="00C44E7C" w:rsidRDefault="00A55E9C" w:rsidP="00C44E7C">
      <w:pPr>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Purpose</w:t>
      </w:r>
    </w:p>
    <w:p w14:paraId="4237555C" w14:textId="168563F9" w:rsidR="00A55E9C" w:rsidRPr="006C7F56" w:rsidRDefault="006348D0" w:rsidP="006C7F56">
      <w:pPr>
        <w:autoSpaceDE w:val="0"/>
        <w:autoSpaceDN w:val="0"/>
        <w:adjustRightInd w:val="0"/>
        <w:spacing w:line="360" w:lineRule="exact"/>
        <w:jc w:val="both"/>
        <w:rPr>
          <w:rFonts w:ascii="Tahoma" w:hAnsi="Tahoma" w:cs="Tahoma"/>
          <w:color w:val="231F20"/>
          <w:kern w:val="0"/>
          <w:sz w:val="22"/>
          <w:szCs w:val="22"/>
        </w:rPr>
      </w:pPr>
      <w:r w:rsidRPr="00250F02">
        <w:rPr>
          <w:rFonts w:ascii="Tahoma" w:hAnsi="Tahoma" w:cs="Tahoma"/>
          <w:i/>
          <w:color w:val="231F20"/>
          <w:kern w:val="0"/>
          <w:sz w:val="22"/>
          <w:szCs w:val="22"/>
        </w:rPr>
        <w:t>ABCB1</w:t>
      </w:r>
      <w:r w:rsidRPr="006348D0">
        <w:rPr>
          <w:rFonts w:ascii="Tahoma" w:hAnsi="Tahoma" w:cs="Tahoma"/>
          <w:color w:val="231F20"/>
          <w:kern w:val="0"/>
          <w:sz w:val="22"/>
          <w:szCs w:val="22"/>
        </w:rPr>
        <w:t xml:space="preserve"> (P-glycoprotein) is well-known for its role in effluxing chemotherapeutic drugs out of cancer cells, contributing to multidrug resistance. Conversely, low expression of ABCB1 may lead to drug accumulation and toxicity. </w:t>
      </w:r>
      <w:r w:rsidRPr="00250F02">
        <w:rPr>
          <w:rFonts w:ascii="Tahoma" w:hAnsi="Tahoma" w:cs="Tahoma"/>
          <w:i/>
          <w:color w:val="231F20"/>
          <w:kern w:val="0"/>
          <w:sz w:val="22"/>
          <w:szCs w:val="22"/>
        </w:rPr>
        <w:t>TMEM14B</w:t>
      </w:r>
      <w:r w:rsidRPr="006348D0">
        <w:rPr>
          <w:rFonts w:ascii="Tahoma" w:hAnsi="Tahoma" w:cs="Tahoma"/>
          <w:color w:val="231F20"/>
          <w:kern w:val="0"/>
          <w:sz w:val="22"/>
          <w:szCs w:val="22"/>
        </w:rPr>
        <w:t xml:space="preserve"> (Transmembrane Protein 14B), although less characterized, is thought to play roles in mitochondrial function, membrane potential maintenance, and cellular stress responses. Low TMEM14B expression may impair these processes, resulting in increased cellular stress and dysfunction. This study aims to investigate the association between the expressions of </w:t>
      </w:r>
      <w:r w:rsidRPr="00250F02">
        <w:rPr>
          <w:rFonts w:ascii="Tahoma" w:hAnsi="Tahoma" w:cs="Tahoma"/>
          <w:i/>
          <w:color w:val="231F20"/>
          <w:kern w:val="0"/>
          <w:sz w:val="22"/>
          <w:szCs w:val="22"/>
        </w:rPr>
        <w:t>ABCB1</w:t>
      </w:r>
      <w:r w:rsidRPr="006348D0">
        <w:rPr>
          <w:rFonts w:ascii="Tahoma" w:hAnsi="Tahoma" w:cs="Tahoma"/>
          <w:color w:val="231F20"/>
          <w:kern w:val="0"/>
          <w:sz w:val="22"/>
          <w:szCs w:val="22"/>
        </w:rPr>
        <w:t xml:space="preserve"> and </w:t>
      </w:r>
      <w:r w:rsidRPr="00250F02">
        <w:rPr>
          <w:rFonts w:ascii="Tahoma" w:hAnsi="Tahoma" w:cs="Tahoma"/>
          <w:i/>
          <w:color w:val="231F20"/>
          <w:kern w:val="0"/>
          <w:sz w:val="22"/>
          <w:szCs w:val="22"/>
        </w:rPr>
        <w:t>TMEM14B</w:t>
      </w:r>
      <w:r w:rsidRPr="006348D0">
        <w:rPr>
          <w:rFonts w:ascii="Tahoma" w:hAnsi="Tahoma" w:cs="Tahoma"/>
          <w:color w:val="231F20"/>
          <w:kern w:val="0"/>
          <w:sz w:val="22"/>
          <w:szCs w:val="22"/>
        </w:rPr>
        <w:t xml:space="preserve"> and prognosis in triple-negative breast cancer (TNBC).</w:t>
      </w:r>
    </w:p>
    <w:p w14:paraId="5FD27E31" w14:textId="77777777" w:rsidR="00A55E9C" w:rsidRPr="006C7F56" w:rsidRDefault="00A55E9C" w:rsidP="00C44E7C">
      <w:pPr>
        <w:autoSpaceDE w:val="0"/>
        <w:autoSpaceDN w:val="0"/>
        <w:adjustRightInd w:val="0"/>
        <w:spacing w:line="360" w:lineRule="exact"/>
        <w:jc w:val="both"/>
        <w:rPr>
          <w:rFonts w:ascii="Tahoma" w:hAnsi="Tahoma" w:cs="Tahoma"/>
          <w:color w:val="231F20"/>
          <w:kern w:val="0"/>
          <w:sz w:val="28"/>
          <w:szCs w:val="28"/>
        </w:rPr>
      </w:pPr>
    </w:p>
    <w:p w14:paraId="293FFA7D"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Materials and Methods</w:t>
      </w:r>
    </w:p>
    <w:p w14:paraId="48B1C87C" w14:textId="37EBC9AE" w:rsidR="00A55E9C" w:rsidRDefault="006348D0" w:rsidP="006C7F56">
      <w:pPr>
        <w:autoSpaceDE w:val="0"/>
        <w:autoSpaceDN w:val="0"/>
        <w:adjustRightInd w:val="0"/>
        <w:spacing w:line="360" w:lineRule="exact"/>
        <w:jc w:val="both"/>
        <w:rPr>
          <w:rFonts w:ascii="Tahoma" w:eastAsia="Univers" w:hAnsi="Tahoma" w:cs="Tahoma"/>
          <w:color w:val="231F20"/>
          <w:kern w:val="0"/>
          <w:sz w:val="22"/>
          <w:szCs w:val="22"/>
        </w:rPr>
      </w:pPr>
      <w:r w:rsidRPr="006348D0">
        <w:rPr>
          <w:rFonts w:ascii="Tahoma" w:eastAsia="Univers" w:hAnsi="Tahoma" w:cs="Tahoma"/>
          <w:color w:val="231F20"/>
          <w:kern w:val="0"/>
          <w:sz w:val="22"/>
          <w:szCs w:val="22"/>
        </w:rPr>
        <w:t xml:space="preserve">A total of </w:t>
      </w:r>
      <w:r w:rsidR="00777044">
        <w:rPr>
          <w:rFonts w:ascii="Tahoma" w:eastAsia="Univers" w:hAnsi="Tahoma" w:cs="Tahoma"/>
          <w:color w:val="231F20"/>
          <w:kern w:val="0"/>
          <w:sz w:val="22"/>
          <w:szCs w:val="22"/>
        </w:rPr>
        <w:t xml:space="preserve">115 </w:t>
      </w:r>
      <w:bookmarkStart w:id="0" w:name="_GoBack"/>
      <w:bookmarkEnd w:id="0"/>
      <w:r>
        <w:rPr>
          <w:rFonts w:ascii="Tahoma" w:eastAsia="Univers" w:hAnsi="Tahoma" w:cs="Tahoma"/>
          <w:color w:val="231F20"/>
          <w:kern w:val="0"/>
          <w:sz w:val="22"/>
          <w:szCs w:val="22"/>
        </w:rPr>
        <w:t>TNBC</w:t>
      </w:r>
      <w:r w:rsidRPr="006348D0">
        <w:rPr>
          <w:rFonts w:ascii="Tahoma" w:eastAsia="Univers" w:hAnsi="Tahoma" w:cs="Tahoma"/>
          <w:color w:val="231F20"/>
          <w:kern w:val="0"/>
          <w:sz w:val="22"/>
          <w:szCs w:val="22"/>
        </w:rPr>
        <w:t xml:space="preserve"> samples from patients who had received chemotherapy were retrieved from the TCGA-BRCA database. </w:t>
      </w:r>
      <w:r w:rsidRPr="006348D0">
        <w:rPr>
          <w:rFonts w:ascii="Tahoma" w:eastAsia="Univers" w:hAnsi="Tahoma" w:cs="Tahoma"/>
          <w:i/>
          <w:color w:val="231F20"/>
          <w:kern w:val="0"/>
          <w:sz w:val="22"/>
          <w:szCs w:val="22"/>
        </w:rPr>
        <w:t>ABCB1</w:t>
      </w:r>
      <w:r w:rsidRPr="006348D0">
        <w:rPr>
          <w:rFonts w:ascii="Tahoma" w:eastAsia="Univers" w:hAnsi="Tahoma" w:cs="Tahoma"/>
          <w:color w:val="231F20"/>
          <w:kern w:val="0"/>
          <w:sz w:val="22"/>
          <w:szCs w:val="22"/>
        </w:rPr>
        <w:t xml:space="preserve"> and </w:t>
      </w:r>
      <w:r w:rsidRPr="006348D0">
        <w:rPr>
          <w:rFonts w:ascii="Tahoma" w:eastAsia="Univers" w:hAnsi="Tahoma" w:cs="Tahoma"/>
          <w:i/>
          <w:color w:val="231F20"/>
          <w:kern w:val="0"/>
          <w:sz w:val="22"/>
          <w:szCs w:val="22"/>
        </w:rPr>
        <w:t>TMEM14B</w:t>
      </w:r>
      <w:r w:rsidRPr="006348D0">
        <w:rPr>
          <w:rFonts w:ascii="Tahoma" w:eastAsia="Univers" w:hAnsi="Tahoma" w:cs="Tahoma"/>
          <w:color w:val="231F20"/>
          <w:kern w:val="0"/>
          <w:sz w:val="22"/>
          <w:szCs w:val="22"/>
        </w:rPr>
        <w:t xml:space="preserve"> expressions were computed using z-scores, comparing the expression levels in tumor samples to the distribution of log-transformed mRNA expression levels in adjacent normal samples in the cohort.</w:t>
      </w:r>
    </w:p>
    <w:p w14:paraId="51E9D33F" w14:textId="77777777" w:rsidR="006348D0" w:rsidRPr="007E6E90" w:rsidRDefault="006348D0" w:rsidP="006C7F56">
      <w:pPr>
        <w:autoSpaceDE w:val="0"/>
        <w:autoSpaceDN w:val="0"/>
        <w:adjustRightInd w:val="0"/>
        <w:spacing w:line="360" w:lineRule="exact"/>
        <w:jc w:val="both"/>
        <w:rPr>
          <w:rFonts w:ascii="Tahoma" w:hAnsi="Tahoma" w:cs="Tahoma"/>
          <w:color w:val="231F20"/>
          <w:kern w:val="0"/>
          <w:sz w:val="28"/>
          <w:szCs w:val="28"/>
        </w:rPr>
      </w:pPr>
    </w:p>
    <w:p w14:paraId="67651982"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Results</w:t>
      </w:r>
    </w:p>
    <w:p w14:paraId="13D792E9" w14:textId="31E5D6D9" w:rsidR="00A65E79" w:rsidRDefault="006348D0" w:rsidP="00C44E7C">
      <w:pPr>
        <w:autoSpaceDE w:val="0"/>
        <w:autoSpaceDN w:val="0"/>
        <w:adjustRightInd w:val="0"/>
        <w:spacing w:line="360" w:lineRule="exact"/>
        <w:jc w:val="both"/>
        <w:rPr>
          <w:rFonts w:ascii="Tahoma" w:hAnsi="Tahoma" w:cs="Tahoma"/>
          <w:color w:val="231F20"/>
          <w:kern w:val="0"/>
          <w:sz w:val="28"/>
          <w:szCs w:val="28"/>
        </w:rPr>
      </w:pPr>
      <w:r w:rsidRPr="006348D0">
        <w:rPr>
          <w:rFonts w:ascii="Tahoma" w:eastAsia="Univers" w:hAnsi="Tahoma" w:cs="Tahoma"/>
          <w:color w:val="231F20"/>
          <w:kern w:val="0"/>
          <w:sz w:val="22"/>
          <w:szCs w:val="22"/>
        </w:rPr>
        <w:t xml:space="preserve">TNBCs categorized as low in either </w:t>
      </w:r>
      <w:r w:rsidRPr="007806B6">
        <w:rPr>
          <w:rFonts w:ascii="Tahoma" w:eastAsia="Univers" w:hAnsi="Tahoma" w:cs="Tahoma"/>
          <w:i/>
          <w:color w:val="231F20"/>
          <w:kern w:val="0"/>
          <w:sz w:val="22"/>
          <w:szCs w:val="22"/>
        </w:rPr>
        <w:t>ABCB1</w:t>
      </w:r>
      <w:r w:rsidRPr="006348D0">
        <w:rPr>
          <w:rFonts w:ascii="Tahoma" w:eastAsia="Univers" w:hAnsi="Tahoma" w:cs="Tahoma"/>
          <w:color w:val="231F20"/>
          <w:kern w:val="0"/>
          <w:sz w:val="22"/>
          <w:szCs w:val="22"/>
        </w:rPr>
        <w:t xml:space="preserve"> or </w:t>
      </w:r>
      <w:r w:rsidRPr="007806B6">
        <w:rPr>
          <w:rFonts w:ascii="Tahoma" w:eastAsia="Univers" w:hAnsi="Tahoma" w:cs="Tahoma"/>
          <w:i/>
          <w:color w:val="231F20"/>
          <w:kern w:val="0"/>
          <w:sz w:val="22"/>
          <w:szCs w:val="22"/>
        </w:rPr>
        <w:t>TMEM14B</w:t>
      </w:r>
      <w:r w:rsidRPr="006348D0">
        <w:rPr>
          <w:rFonts w:ascii="Tahoma" w:eastAsia="Univers" w:hAnsi="Tahoma" w:cs="Tahoma"/>
          <w:color w:val="231F20"/>
          <w:kern w:val="0"/>
          <w:sz w:val="22"/>
          <w:szCs w:val="22"/>
        </w:rPr>
        <w:t xml:space="preserve"> expression showed a trend toward poor prognosis, although no significant findings were observed in individual subgroups. However, TNBCs with concurrent low expression of both </w:t>
      </w:r>
      <w:r w:rsidRPr="007806B6">
        <w:rPr>
          <w:rFonts w:ascii="Tahoma" w:eastAsia="Univers" w:hAnsi="Tahoma" w:cs="Tahoma"/>
          <w:i/>
          <w:color w:val="231F20"/>
          <w:kern w:val="0"/>
          <w:sz w:val="22"/>
          <w:szCs w:val="22"/>
        </w:rPr>
        <w:t>ABCB1</w:t>
      </w:r>
      <w:r w:rsidRPr="006348D0">
        <w:rPr>
          <w:rFonts w:ascii="Tahoma" w:eastAsia="Univers" w:hAnsi="Tahoma" w:cs="Tahoma"/>
          <w:color w:val="231F20"/>
          <w:kern w:val="0"/>
          <w:sz w:val="22"/>
          <w:szCs w:val="22"/>
        </w:rPr>
        <w:t xml:space="preserve"> and </w:t>
      </w:r>
      <w:r w:rsidRPr="007806B6">
        <w:rPr>
          <w:rFonts w:ascii="Tahoma" w:eastAsia="Univers" w:hAnsi="Tahoma" w:cs="Tahoma"/>
          <w:i/>
          <w:color w:val="231F20"/>
          <w:kern w:val="0"/>
          <w:sz w:val="22"/>
          <w:szCs w:val="22"/>
        </w:rPr>
        <w:t>TMEM14B</w:t>
      </w:r>
      <w:r w:rsidRPr="006348D0">
        <w:rPr>
          <w:rFonts w:ascii="Tahoma" w:eastAsia="Univers" w:hAnsi="Tahoma" w:cs="Tahoma"/>
          <w:color w:val="231F20"/>
          <w:kern w:val="0"/>
          <w:sz w:val="22"/>
          <w:szCs w:val="22"/>
        </w:rPr>
        <w:t xml:space="preserve"> exhibited significantly worse progression-free survival</w:t>
      </w:r>
      <w:r>
        <w:rPr>
          <w:rFonts w:ascii="Tahoma" w:eastAsia="Univers" w:hAnsi="Tahoma" w:cs="Tahoma"/>
          <w:color w:val="231F20"/>
          <w:kern w:val="0"/>
          <w:sz w:val="22"/>
          <w:szCs w:val="22"/>
        </w:rPr>
        <w:t xml:space="preserve"> </w:t>
      </w:r>
      <w:r w:rsidRPr="006348D0">
        <w:rPr>
          <w:rFonts w:ascii="Tahoma" w:eastAsia="Univers" w:hAnsi="Tahoma" w:cs="Tahoma"/>
          <w:color w:val="231F20"/>
          <w:kern w:val="0"/>
          <w:sz w:val="22"/>
          <w:szCs w:val="22"/>
        </w:rPr>
        <w:t>and overall survival outcomes.</w:t>
      </w:r>
      <w:r w:rsidR="00766FAB">
        <w:rPr>
          <w:rFonts w:ascii="Tahoma" w:eastAsia="Univers" w:hAnsi="Tahoma" w:cs="Tahoma"/>
          <w:color w:val="231F20"/>
          <w:kern w:val="0"/>
          <w:sz w:val="22"/>
          <w:szCs w:val="22"/>
        </w:rPr>
        <w:t xml:space="preserve">  </w:t>
      </w:r>
    </w:p>
    <w:p w14:paraId="23D6E8D9" w14:textId="77777777" w:rsidR="00A65E79" w:rsidRPr="007E6E90" w:rsidRDefault="00A65E79" w:rsidP="00C44E7C">
      <w:pPr>
        <w:autoSpaceDE w:val="0"/>
        <w:autoSpaceDN w:val="0"/>
        <w:adjustRightInd w:val="0"/>
        <w:spacing w:line="360" w:lineRule="exact"/>
        <w:jc w:val="both"/>
        <w:rPr>
          <w:rFonts w:ascii="Tahoma" w:hAnsi="Tahoma" w:cs="Tahoma"/>
          <w:color w:val="231F20"/>
          <w:kern w:val="0"/>
          <w:sz w:val="28"/>
          <w:szCs w:val="28"/>
        </w:rPr>
      </w:pPr>
    </w:p>
    <w:p w14:paraId="498FFD21" w14:textId="77777777" w:rsidR="00A55E9C" w:rsidRPr="00C44E7C" w:rsidRDefault="00A55E9C" w:rsidP="00C44E7C">
      <w:pPr>
        <w:autoSpaceDE w:val="0"/>
        <w:autoSpaceDN w:val="0"/>
        <w:adjustRightInd w:val="0"/>
        <w:spacing w:line="360" w:lineRule="exact"/>
        <w:jc w:val="both"/>
        <w:rPr>
          <w:rFonts w:ascii="Tahoma" w:eastAsia="細明體" w:hAnsi="Tahoma" w:cs="Tahoma"/>
          <w:b/>
          <w:bCs/>
          <w:kern w:val="0"/>
          <w:sz w:val="22"/>
          <w:szCs w:val="22"/>
        </w:rPr>
      </w:pPr>
      <w:r w:rsidRPr="00C44E7C">
        <w:rPr>
          <w:rFonts w:ascii="Tahoma" w:eastAsia="細明體" w:hAnsi="Tahoma" w:cs="Tahoma"/>
          <w:b/>
          <w:bCs/>
          <w:kern w:val="0"/>
          <w:sz w:val="22"/>
          <w:szCs w:val="22"/>
        </w:rPr>
        <w:t>Conclusion</w:t>
      </w:r>
    </w:p>
    <w:p w14:paraId="6FD573E4" w14:textId="577A4CF1" w:rsidR="00A65E79" w:rsidRPr="00766FAB" w:rsidRDefault="006348D0" w:rsidP="00C44E7C">
      <w:pPr>
        <w:autoSpaceDE w:val="0"/>
        <w:autoSpaceDN w:val="0"/>
        <w:adjustRightInd w:val="0"/>
        <w:spacing w:line="360" w:lineRule="exact"/>
        <w:jc w:val="both"/>
        <w:rPr>
          <w:rFonts w:ascii="Tahoma" w:hAnsi="Tahoma" w:cs="Tahoma"/>
          <w:b/>
          <w:bCs/>
          <w:color w:val="000000"/>
        </w:rPr>
      </w:pPr>
      <w:r w:rsidRPr="006348D0">
        <w:rPr>
          <w:rFonts w:ascii="Tahoma" w:hAnsi="Tahoma" w:cs="Tahoma"/>
          <w:bCs/>
          <w:color w:val="000000"/>
          <w:sz w:val="22"/>
          <w:szCs w:val="22"/>
        </w:rPr>
        <w:t xml:space="preserve">Simultaneous low expression of </w:t>
      </w:r>
      <w:r w:rsidRPr="006348D0">
        <w:rPr>
          <w:rFonts w:ascii="Tahoma" w:hAnsi="Tahoma" w:cs="Tahoma"/>
          <w:bCs/>
          <w:i/>
          <w:color w:val="000000"/>
          <w:sz w:val="22"/>
          <w:szCs w:val="22"/>
        </w:rPr>
        <w:t>ABCB1</w:t>
      </w:r>
      <w:r w:rsidRPr="006348D0">
        <w:rPr>
          <w:rFonts w:ascii="Tahoma" w:hAnsi="Tahoma" w:cs="Tahoma"/>
          <w:bCs/>
          <w:color w:val="000000"/>
          <w:sz w:val="22"/>
          <w:szCs w:val="22"/>
        </w:rPr>
        <w:t xml:space="preserve"> and </w:t>
      </w:r>
      <w:r w:rsidRPr="006348D0">
        <w:rPr>
          <w:rFonts w:ascii="Tahoma" w:hAnsi="Tahoma" w:cs="Tahoma"/>
          <w:bCs/>
          <w:i/>
          <w:color w:val="000000"/>
          <w:sz w:val="22"/>
          <w:szCs w:val="22"/>
        </w:rPr>
        <w:t>TMEM14B</w:t>
      </w:r>
      <w:r w:rsidRPr="006348D0">
        <w:rPr>
          <w:rFonts w:ascii="Tahoma" w:hAnsi="Tahoma" w:cs="Tahoma"/>
          <w:bCs/>
          <w:color w:val="000000"/>
          <w:sz w:val="22"/>
          <w:szCs w:val="22"/>
        </w:rPr>
        <w:t xml:space="preserve"> in tumor samples is significantly associated with poor prognosis in TNBC, potentially due to intracellular accumulation of metabolites and enhanced cellular stress responses. Further research is needed to elucidate the mechanisms underlying these associations and to develop targeted therapies for TNBC patients with low </w:t>
      </w:r>
      <w:r w:rsidRPr="006348D0">
        <w:rPr>
          <w:rFonts w:ascii="Tahoma" w:hAnsi="Tahoma" w:cs="Tahoma"/>
          <w:bCs/>
          <w:i/>
          <w:color w:val="000000"/>
          <w:sz w:val="22"/>
          <w:szCs w:val="22"/>
        </w:rPr>
        <w:t>ABCB1</w:t>
      </w:r>
      <w:r w:rsidRPr="006348D0">
        <w:rPr>
          <w:rFonts w:ascii="Tahoma" w:hAnsi="Tahoma" w:cs="Tahoma"/>
          <w:bCs/>
          <w:color w:val="000000"/>
          <w:sz w:val="22"/>
          <w:szCs w:val="22"/>
        </w:rPr>
        <w:t xml:space="preserve"> and </w:t>
      </w:r>
      <w:r w:rsidRPr="006348D0">
        <w:rPr>
          <w:rFonts w:ascii="Tahoma" w:hAnsi="Tahoma" w:cs="Tahoma"/>
          <w:bCs/>
          <w:i/>
          <w:color w:val="000000"/>
          <w:sz w:val="22"/>
          <w:szCs w:val="22"/>
        </w:rPr>
        <w:t>TMEM14B</w:t>
      </w:r>
      <w:r w:rsidRPr="006348D0">
        <w:rPr>
          <w:rFonts w:ascii="Tahoma" w:hAnsi="Tahoma" w:cs="Tahoma"/>
          <w:bCs/>
          <w:color w:val="000000"/>
          <w:sz w:val="22"/>
          <w:szCs w:val="22"/>
        </w:rPr>
        <w:t xml:space="preserve"> expression.</w:t>
      </w:r>
    </w:p>
    <w:sectPr w:rsidR="00A65E79" w:rsidRPr="00766FAB" w:rsidSect="006D79A4">
      <w:pgSz w:w="12240" w:h="15840"/>
      <w:pgMar w:top="540" w:right="900" w:bottom="36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540C" w14:textId="77777777" w:rsidR="00F22924" w:rsidRDefault="00F22924" w:rsidP="006F4305">
      <w:r>
        <w:separator/>
      </w:r>
    </w:p>
  </w:endnote>
  <w:endnote w:type="continuationSeparator" w:id="0">
    <w:p w14:paraId="77C16330" w14:textId="77777777" w:rsidR="00F22924" w:rsidRDefault="00F22924" w:rsidP="006F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unga">
    <w:panose1 w:val="00000400000000000000"/>
    <w:charset w:val="00"/>
    <w:family w:val="swiss"/>
    <w:pitch w:val="variable"/>
    <w:sig w:usb0="004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8D4E5" w14:textId="77777777" w:rsidR="00F22924" w:rsidRDefault="00F22924" w:rsidP="006F4305">
      <w:r>
        <w:separator/>
      </w:r>
    </w:p>
  </w:footnote>
  <w:footnote w:type="continuationSeparator" w:id="0">
    <w:p w14:paraId="3E536220" w14:textId="77777777" w:rsidR="00F22924" w:rsidRDefault="00F22924" w:rsidP="006F43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7E75"/>
    <w:multiLevelType w:val="hybridMultilevel"/>
    <w:tmpl w:val="2F7C1E88"/>
    <w:lvl w:ilvl="0" w:tplc="04090003">
      <w:start w:val="1"/>
      <w:numFmt w:val="bullet"/>
      <w:lvlText w:val=""/>
      <w:lvlJc w:val="left"/>
      <w:pPr>
        <w:tabs>
          <w:tab w:val="num" w:pos="1198"/>
        </w:tabs>
        <w:ind w:left="1198" w:hanging="480"/>
      </w:pPr>
      <w:rPr>
        <w:rFonts w:ascii="Wingdings" w:hAnsi="Wingdings" w:hint="default"/>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 w15:restartNumberingAfterBreak="0">
    <w:nsid w:val="2A937D10"/>
    <w:multiLevelType w:val="hybridMultilevel"/>
    <w:tmpl w:val="0346F58A"/>
    <w:lvl w:ilvl="0" w:tplc="6B4A92CE">
      <w:start w:val="1"/>
      <w:numFmt w:val="decimal"/>
      <w:pStyle w:val="TJCC"/>
      <w:lvlText w:val="A-I-%1"/>
      <w:lvlJc w:val="left"/>
      <w:pPr>
        <w:tabs>
          <w:tab w:val="num" w:pos="680"/>
        </w:tabs>
        <w:ind w:left="680" w:hanging="680"/>
      </w:pPr>
      <w:rPr>
        <w:rFonts w:ascii="Tahoma" w:hAnsi="Tahoma"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3C235D"/>
    <w:multiLevelType w:val="hybridMultilevel"/>
    <w:tmpl w:val="E5080FE8"/>
    <w:lvl w:ilvl="0" w:tplc="04090003">
      <w:start w:val="1"/>
      <w:numFmt w:val="bullet"/>
      <w:lvlText w:val=""/>
      <w:lvlJc w:val="left"/>
      <w:pPr>
        <w:tabs>
          <w:tab w:val="num" w:pos="1558"/>
        </w:tabs>
        <w:ind w:left="1558" w:hanging="480"/>
      </w:pPr>
      <w:rPr>
        <w:rFonts w:ascii="Wingdings" w:hAnsi="Wingdings" w:hint="default"/>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9C"/>
    <w:rsid w:val="00000258"/>
    <w:rsid w:val="00002BFD"/>
    <w:rsid w:val="00004E4F"/>
    <w:rsid w:val="000112DA"/>
    <w:rsid w:val="00011472"/>
    <w:rsid w:val="00012759"/>
    <w:rsid w:val="00015D73"/>
    <w:rsid w:val="00016344"/>
    <w:rsid w:val="000164D0"/>
    <w:rsid w:val="00016A90"/>
    <w:rsid w:val="00024546"/>
    <w:rsid w:val="00025128"/>
    <w:rsid w:val="000470DA"/>
    <w:rsid w:val="0004786C"/>
    <w:rsid w:val="00050477"/>
    <w:rsid w:val="00060FB0"/>
    <w:rsid w:val="000614F1"/>
    <w:rsid w:val="00070FC4"/>
    <w:rsid w:val="00080EB6"/>
    <w:rsid w:val="00083BEB"/>
    <w:rsid w:val="00090F9D"/>
    <w:rsid w:val="000934EB"/>
    <w:rsid w:val="000A1B64"/>
    <w:rsid w:val="000A4E60"/>
    <w:rsid w:val="000B1838"/>
    <w:rsid w:val="000B3AC5"/>
    <w:rsid w:val="000C3BDB"/>
    <w:rsid w:val="000D08BD"/>
    <w:rsid w:val="000D2B1D"/>
    <w:rsid w:val="000E271F"/>
    <w:rsid w:val="000E387A"/>
    <w:rsid w:val="000E3ED1"/>
    <w:rsid w:val="000E456A"/>
    <w:rsid w:val="000F0848"/>
    <w:rsid w:val="000F35CF"/>
    <w:rsid w:val="0010247A"/>
    <w:rsid w:val="00104F51"/>
    <w:rsid w:val="00110E7D"/>
    <w:rsid w:val="001122AB"/>
    <w:rsid w:val="00113353"/>
    <w:rsid w:val="00113911"/>
    <w:rsid w:val="0011777B"/>
    <w:rsid w:val="00117A40"/>
    <w:rsid w:val="00133D02"/>
    <w:rsid w:val="001355E1"/>
    <w:rsid w:val="00142433"/>
    <w:rsid w:val="0014619F"/>
    <w:rsid w:val="00146DDD"/>
    <w:rsid w:val="00146E8C"/>
    <w:rsid w:val="00150B16"/>
    <w:rsid w:val="00151576"/>
    <w:rsid w:val="001521DD"/>
    <w:rsid w:val="00155E4F"/>
    <w:rsid w:val="0015696A"/>
    <w:rsid w:val="00167A62"/>
    <w:rsid w:val="0017168C"/>
    <w:rsid w:val="00174048"/>
    <w:rsid w:val="00187681"/>
    <w:rsid w:val="001A56AB"/>
    <w:rsid w:val="001A778F"/>
    <w:rsid w:val="001B7CC1"/>
    <w:rsid w:val="001D59B9"/>
    <w:rsid w:val="001E4843"/>
    <w:rsid w:val="001E65D3"/>
    <w:rsid w:val="001F7ABF"/>
    <w:rsid w:val="00200178"/>
    <w:rsid w:val="002031BA"/>
    <w:rsid w:val="002178A1"/>
    <w:rsid w:val="00222DD7"/>
    <w:rsid w:val="00226F09"/>
    <w:rsid w:val="00230B56"/>
    <w:rsid w:val="00231AC0"/>
    <w:rsid w:val="00231DD0"/>
    <w:rsid w:val="0023450D"/>
    <w:rsid w:val="0024159D"/>
    <w:rsid w:val="00243B92"/>
    <w:rsid w:val="00243F94"/>
    <w:rsid w:val="002477AC"/>
    <w:rsid w:val="00250182"/>
    <w:rsid w:val="00250F02"/>
    <w:rsid w:val="00253089"/>
    <w:rsid w:val="00253DE1"/>
    <w:rsid w:val="00255DF7"/>
    <w:rsid w:val="00255E99"/>
    <w:rsid w:val="0026106E"/>
    <w:rsid w:val="00264451"/>
    <w:rsid w:val="00267C5C"/>
    <w:rsid w:val="00272BAA"/>
    <w:rsid w:val="00272F2A"/>
    <w:rsid w:val="002771D2"/>
    <w:rsid w:val="002833D3"/>
    <w:rsid w:val="00283C6D"/>
    <w:rsid w:val="00286CD1"/>
    <w:rsid w:val="00293508"/>
    <w:rsid w:val="002942D5"/>
    <w:rsid w:val="00294402"/>
    <w:rsid w:val="0029484C"/>
    <w:rsid w:val="002956D6"/>
    <w:rsid w:val="002A3152"/>
    <w:rsid w:val="002A6700"/>
    <w:rsid w:val="002C0B1D"/>
    <w:rsid w:val="002C37AA"/>
    <w:rsid w:val="002C5670"/>
    <w:rsid w:val="002D1D18"/>
    <w:rsid w:val="002D7696"/>
    <w:rsid w:val="002E36A0"/>
    <w:rsid w:val="002E4386"/>
    <w:rsid w:val="002E50F5"/>
    <w:rsid w:val="002E54B2"/>
    <w:rsid w:val="002E6285"/>
    <w:rsid w:val="002F79AE"/>
    <w:rsid w:val="003002CE"/>
    <w:rsid w:val="0030503E"/>
    <w:rsid w:val="003076AE"/>
    <w:rsid w:val="0031459B"/>
    <w:rsid w:val="003326A0"/>
    <w:rsid w:val="00335533"/>
    <w:rsid w:val="0033686D"/>
    <w:rsid w:val="00337D36"/>
    <w:rsid w:val="00337DAE"/>
    <w:rsid w:val="00341DF9"/>
    <w:rsid w:val="003434F9"/>
    <w:rsid w:val="00343A63"/>
    <w:rsid w:val="003524BC"/>
    <w:rsid w:val="00357AFA"/>
    <w:rsid w:val="00364EF2"/>
    <w:rsid w:val="003651F2"/>
    <w:rsid w:val="00377025"/>
    <w:rsid w:val="003805B5"/>
    <w:rsid w:val="003927A0"/>
    <w:rsid w:val="003A3D48"/>
    <w:rsid w:val="003A52A1"/>
    <w:rsid w:val="003A5C39"/>
    <w:rsid w:val="003B5044"/>
    <w:rsid w:val="003C0543"/>
    <w:rsid w:val="003C23FD"/>
    <w:rsid w:val="003D1B30"/>
    <w:rsid w:val="003F2C90"/>
    <w:rsid w:val="003F69CF"/>
    <w:rsid w:val="0040132C"/>
    <w:rsid w:val="004109DA"/>
    <w:rsid w:val="0041342F"/>
    <w:rsid w:val="00422618"/>
    <w:rsid w:val="00426B55"/>
    <w:rsid w:val="00427061"/>
    <w:rsid w:val="00427ECE"/>
    <w:rsid w:val="004326EA"/>
    <w:rsid w:val="004342C8"/>
    <w:rsid w:val="00436D21"/>
    <w:rsid w:val="00437CF5"/>
    <w:rsid w:val="00443EB1"/>
    <w:rsid w:val="00446A5B"/>
    <w:rsid w:val="00452722"/>
    <w:rsid w:val="00483BEA"/>
    <w:rsid w:val="0048442D"/>
    <w:rsid w:val="0048497D"/>
    <w:rsid w:val="004907EA"/>
    <w:rsid w:val="00490D2C"/>
    <w:rsid w:val="004960DE"/>
    <w:rsid w:val="004A2FD7"/>
    <w:rsid w:val="004A337F"/>
    <w:rsid w:val="004A4223"/>
    <w:rsid w:val="004C1953"/>
    <w:rsid w:val="004C55B4"/>
    <w:rsid w:val="004C5C40"/>
    <w:rsid w:val="004D0DD1"/>
    <w:rsid w:val="004D3796"/>
    <w:rsid w:val="004D70C2"/>
    <w:rsid w:val="004E576B"/>
    <w:rsid w:val="004E6151"/>
    <w:rsid w:val="004E6CE4"/>
    <w:rsid w:val="004F3A6B"/>
    <w:rsid w:val="004F7499"/>
    <w:rsid w:val="005003A3"/>
    <w:rsid w:val="00502879"/>
    <w:rsid w:val="005029FE"/>
    <w:rsid w:val="00512DA1"/>
    <w:rsid w:val="00513034"/>
    <w:rsid w:val="005148FA"/>
    <w:rsid w:val="00516DBB"/>
    <w:rsid w:val="00520581"/>
    <w:rsid w:val="00526A00"/>
    <w:rsid w:val="00530721"/>
    <w:rsid w:val="0053104B"/>
    <w:rsid w:val="00533556"/>
    <w:rsid w:val="0054337B"/>
    <w:rsid w:val="005439D0"/>
    <w:rsid w:val="00553123"/>
    <w:rsid w:val="00556188"/>
    <w:rsid w:val="00556B3D"/>
    <w:rsid w:val="0055737C"/>
    <w:rsid w:val="00562CDF"/>
    <w:rsid w:val="00562FEE"/>
    <w:rsid w:val="00563941"/>
    <w:rsid w:val="00566FEB"/>
    <w:rsid w:val="0056741F"/>
    <w:rsid w:val="00567C47"/>
    <w:rsid w:val="0057035B"/>
    <w:rsid w:val="00580FF3"/>
    <w:rsid w:val="005851DF"/>
    <w:rsid w:val="00585C00"/>
    <w:rsid w:val="00585D6C"/>
    <w:rsid w:val="00587259"/>
    <w:rsid w:val="00587F32"/>
    <w:rsid w:val="005914B4"/>
    <w:rsid w:val="00592B71"/>
    <w:rsid w:val="00593023"/>
    <w:rsid w:val="00595001"/>
    <w:rsid w:val="0059559B"/>
    <w:rsid w:val="00595DDE"/>
    <w:rsid w:val="005A60FD"/>
    <w:rsid w:val="005B0A4A"/>
    <w:rsid w:val="005B67CB"/>
    <w:rsid w:val="005C280F"/>
    <w:rsid w:val="005C31F6"/>
    <w:rsid w:val="005C44F5"/>
    <w:rsid w:val="005C7C9C"/>
    <w:rsid w:val="005E07DF"/>
    <w:rsid w:val="005F4ADF"/>
    <w:rsid w:val="00600EDD"/>
    <w:rsid w:val="00604025"/>
    <w:rsid w:val="006067F8"/>
    <w:rsid w:val="00613814"/>
    <w:rsid w:val="00614A95"/>
    <w:rsid w:val="00617118"/>
    <w:rsid w:val="006201B5"/>
    <w:rsid w:val="00621819"/>
    <w:rsid w:val="00623D05"/>
    <w:rsid w:val="006257EB"/>
    <w:rsid w:val="006348D0"/>
    <w:rsid w:val="00636A74"/>
    <w:rsid w:val="00636F67"/>
    <w:rsid w:val="00647BCE"/>
    <w:rsid w:val="00647F06"/>
    <w:rsid w:val="00652DAE"/>
    <w:rsid w:val="00660F40"/>
    <w:rsid w:val="00663AB6"/>
    <w:rsid w:val="00666B3E"/>
    <w:rsid w:val="00670F0A"/>
    <w:rsid w:val="006757F8"/>
    <w:rsid w:val="00676776"/>
    <w:rsid w:val="00680640"/>
    <w:rsid w:val="0068395C"/>
    <w:rsid w:val="0068475B"/>
    <w:rsid w:val="00695737"/>
    <w:rsid w:val="00695B1F"/>
    <w:rsid w:val="006A220E"/>
    <w:rsid w:val="006A375A"/>
    <w:rsid w:val="006A4D7E"/>
    <w:rsid w:val="006A6A5F"/>
    <w:rsid w:val="006B23D0"/>
    <w:rsid w:val="006B4874"/>
    <w:rsid w:val="006C0333"/>
    <w:rsid w:val="006C0CA5"/>
    <w:rsid w:val="006C0DB0"/>
    <w:rsid w:val="006C1DAB"/>
    <w:rsid w:val="006C6D3F"/>
    <w:rsid w:val="006C7F56"/>
    <w:rsid w:val="006D0514"/>
    <w:rsid w:val="006D1696"/>
    <w:rsid w:val="006D2B6D"/>
    <w:rsid w:val="006D5928"/>
    <w:rsid w:val="006D5C45"/>
    <w:rsid w:val="006D79A4"/>
    <w:rsid w:val="006E06D0"/>
    <w:rsid w:val="006E552D"/>
    <w:rsid w:val="006E7B69"/>
    <w:rsid w:val="006F2839"/>
    <w:rsid w:val="006F4305"/>
    <w:rsid w:val="006F4F1A"/>
    <w:rsid w:val="006F5346"/>
    <w:rsid w:val="006F7DCE"/>
    <w:rsid w:val="00703663"/>
    <w:rsid w:val="007066D2"/>
    <w:rsid w:val="00713CB2"/>
    <w:rsid w:val="00714929"/>
    <w:rsid w:val="00716092"/>
    <w:rsid w:val="00722754"/>
    <w:rsid w:val="00734D9F"/>
    <w:rsid w:val="00737097"/>
    <w:rsid w:val="00751F37"/>
    <w:rsid w:val="00752589"/>
    <w:rsid w:val="0075499C"/>
    <w:rsid w:val="00756BE8"/>
    <w:rsid w:val="0076144D"/>
    <w:rsid w:val="007631A2"/>
    <w:rsid w:val="007649F0"/>
    <w:rsid w:val="007659EC"/>
    <w:rsid w:val="00766FAB"/>
    <w:rsid w:val="00767753"/>
    <w:rsid w:val="00770AF6"/>
    <w:rsid w:val="00772E4D"/>
    <w:rsid w:val="00777044"/>
    <w:rsid w:val="00777FAF"/>
    <w:rsid w:val="007806B6"/>
    <w:rsid w:val="00781F86"/>
    <w:rsid w:val="0078329E"/>
    <w:rsid w:val="00792763"/>
    <w:rsid w:val="007963CD"/>
    <w:rsid w:val="007A2024"/>
    <w:rsid w:val="007B0D52"/>
    <w:rsid w:val="007B6F55"/>
    <w:rsid w:val="007B7C9A"/>
    <w:rsid w:val="007C4C3B"/>
    <w:rsid w:val="007C5713"/>
    <w:rsid w:val="007C615C"/>
    <w:rsid w:val="007C6B42"/>
    <w:rsid w:val="007D156E"/>
    <w:rsid w:val="007D7464"/>
    <w:rsid w:val="007E0325"/>
    <w:rsid w:val="007E08C9"/>
    <w:rsid w:val="007E6821"/>
    <w:rsid w:val="007E6E90"/>
    <w:rsid w:val="007E7674"/>
    <w:rsid w:val="007E7A84"/>
    <w:rsid w:val="007F08A7"/>
    <w:rsid w:val="007F548A"/>
    <w:rsid w:val="00803D20"/>
    <w:rsid w:val="00804C39"/>
    <w:rsid w:val="008110C1"/>
    <w:rsid w:val="008122E0"/>
    <w:rsid w:val="00814A6C"/>
    <w:rsid w:val="0082682F"/>
    <w:rsid w:val="00827415"/>
    <w:rsid w:val="00830AB0"/>
    <w:rsid w:val="00835AF1"/>
    <w:rsid w:val="00841E2E"/>
    <w:rsid w:val="00844D2B"/>
    <w:rsid w:val="00853775"/>
    <w:rsid w:val="0085429C"/>
    <w:rsid w:val="00856C5C"/>
    <w:rsid w:val="0085780F"/>
    <w:rsid w:val="0086115A"/>
    <w:rsid w:val="00863E22"/>
    <w:rsid w:val="008678ED"/>
    <w:rsid w:val="00870B80"/>
    <w:rsid w:val="008743A8"/>
    <w:rsid w:val="00890367"/>
    <w:rsid w:val="0089109A"/>
    <w:rsid w:val="00892514"/>
    <w:rsid w:val="00892823"/>
    <w:rsid w:val="008956DB"/>
    <w:rsid w:val="008A07D0"/>
    <w:rsid w:val="008B209A"/>
    <w:rsid w:val="008B32CE"/>
    <w:rsid w:val="008B3EF1"/>
    <w:rsid w:val="008B764D"/>
    <w:rsid w:val="008C317F"/>
    <w:rsid w:val="008C3D27"/>
    <w:rsid w:val="008C572C"/>
    <w:rsid w:val="008D02F4"/>
    <w:rsid w:val="008D4651"/>
    <w:rsid w:val="008D56FE"/>
    <w:rsid w:val="008E622C"/>
    <w:rsid w:val="008E67E3"/>
    <w:rsid w:val="008E719A"/>
    <w:rsid w:val="008F136A"/>
    <w:rsid w:val="008F2B45"/>
    <w:rsid w:val="008F3220"/>
    <w:rsid w:val="008F444C"/>
    <w:rsid w:val="00901DD2"/>
    <w:rsid w:val="00907209"/>
    <w:rsid w:val="00917CF5"/>
    <w:rsid w:val="00920E71"/>
    <w:rsid w:val="00921422"/>
    <w:rsid w:val="00921C30"/>
    <w:rsid w:val="00923106"/>
    <w:rsid w:val="00937170"/>
    <w:rsid w:val="009373ED"/>
    <w:rsid w:val="00957709"/>
    <w:rsid w:val="0096027D"/>
    <w:rsid w:val="0096314E"/>
    <w:rsid w:val="00964A66"/>
    <w:rsid w:val="00964F88"/>
    <w:rsid w:val="009653C4"/>
    <w:rsid w:val="009670B8"/>
    <w:rsid w:val="009725B7"/>
    <w:rsid w:val="009778DD"/>
    <w:rsid w:val="009929F8"/>
    <w:rsid w:val="009958C0"/>
    <w:rsid w:val="009A1DD9"/>
    <w:rsid w:val="009A289C"/>
    <w:rsid w:val="009B1143"/>
    <w:rsid w:val="009B145A"/>
    <w:rsid w:val="009B1979"/>
    <w:rsid w:val="009B2EB5"/>
    <w:rsid w:val="009B6C4D"/>
    <w:rsid w:val="009B7CA1"/>
    <w:rsid w:val="009C79B9"/>
    <w:rsid w:val="009D189F"/>
    <w:rsid w:val="009D3320"/>
    <w:rsid w:val="009D34BC"/>
    <w:rsid w:val="009D7AFF"/>
    <w:rsid w:val="009E1C40"/>
    <w:rsid w:val="009E2B59"/>
    <w:rsid w:val="009E6240"/>
    <w:rsid w:val="009F0B9B"/>
    <w:rsid w:val="009F1563"/>
    <w:rsid w:val="009F235C"/>
    <w:rsid w:val="009F7979"/>
    <w:rsid w:val="009F7E6A"/>
    <w:rsid w:val="00A03CD0"/>
    <w:rsid w:val="00A0640B"/>
    <w:rsid w:val="00A06983"/>
    <w:rsid w:val="00A10368"/>
    <w:rsid w:val="00A11163"/>
    <w:rsid w:val="00A12717"/>
    <w:rsid w:val="00A142D4"/>
    <w:rsid w:val="00A2069B"/>
    <w:rsid w:val="00A20EB5"/>
    <w:rsid w:val="00A2653E"/>
    <w:rsid w:val="00A3026E"/>
    <w:rsid w:val="00A308B2"/>
    <w:rsid w:val="00A40F4A"/>
    <w:rsid w:val="00A43AF6"/>
    <w:rsid w:val="00A46BA9"/>
    <w:rsid w:val="00A55E9C"/>
    <w:rsid w:val="00A65E79"/>
    <w:rsid w:val="00A67100"/>
    <w:rsid w:val="00A727D1"/>
    <w:rsid w:val="00A733CA"/>
    <w:rsid w:val="00A74A98"/>
    <w:rsid w:val="00A77337"/>
    <w:rsid w:val="00A778DC"/>
    <w:rsid w:val="00A80D00"/>
    <w:rsid w:val="00A81562"/>
    <w:rsid w:val="00A82081"/>
    <w:rsid w:val="00A83C84"/>
    <w:rsid w:val="00A86533"/>
    <w:rsid w:val="00A9630F"/>
    <w:rsid w:val="00AA5163"/>
    <w:rsid w:val="00AA648B"/>
    <w:rsid w:val="00AB4891"/>
    <w:rsid w:val="00AB5DE6"/>
    <w:rsid w:val="00AB6788"/>
    <w:rsid w:val="00AB6AB4"/>
    <w:rsid w:val="00AC4E17"/>
    <w:rsid w:val="00AC7FB8"/>
    <w:rsid w:val="00AD101E"/>
    <w:rsid w:val="00AD1181"/>
    <w:rsid w:val="00AD5766"/>
    <w:rsid w:val="00AE1048"/>
    <w:rsid w:val="00AE1081"/>
    <w:rsid w:val="00AE52C0"/>
    <w:rsid w:val="00AE5C1C"/>
    <w:rsid w:val="00AE5D12"/>
    <w:rsid w:val="00AF104C"/>
    <w:rsid w:val="00AF162B"/>
    <w:rsid w:val="00AF28A4"/>
    <w:rsid w:val="00B01602"/>
    <w:rsid w:val="00B023C9"/>
    <w:rsid w:val="00B04E45"/>
    <w:rsid w:val="00B1018E"/>
    <w:rsid w:val="00B106DD"/>
    <w:rsid w:val="00B12299"/>
    <w:rsid w:val="00B13FFC"/>
    <w:rsid w:val="00B1483A"/>
    <w:rsid w:val="00B20BB7"/>
    <w:rsid w:val="00B24BCE"/>
    <w:rsid w:val="00B42C0D"/>
    <w:rsid w:val="00B530F0"/>
    <w:rsid w:val="00B5423C"/>
    <w:rsid w:val="00B56300"/>
    <w:rsid w:val="00B61268"/>
    <w:rsid w:val="00B62594"/>
    <w:rsid w:val="00B63951"/>
    <w:rsid w:val="00B65A3E"/>
    <w:rsid w:val="00B66EFF"/>
    <w:rsid w:val="00B718EC"/>
    <w:rsid w:val="00B741E7"/>
    <w:rsid w:val="00B75041"/>
    <w:rsid w:val="00B83045"/>
    <w:rsid w:val="00B85438"/>
    <w:rsid w:val="00B85BB5"/>
    <w:rsid w:val="00B87DF4"/>
    <w:rsid w:val="00B91A00"/>
    <w:rsid w:val="00B93B19"/>
    <w:rsid w:val="00B94D25"/>
    <w:rsid w:val="00B95020"/>
    <w:rsid w:val="00B97D42"/>
    <w:rsid w:val="00BA1058"/>
    <w:rsid w:val="00BA10E7"/>
    <w:rsid w:val="00BA2C9B"/>
    <w:rsid w:val="00BA61EB"/>
    <w:rsid w:val="00BB006B"/>
    <w:rsid w:val="00BB01DE"/>
    <w:rsid w:val="00BB122E"/>
    <w:rsid w:val="00BB39EE"/>
    <w:rsid w:val="00BB3F2F"/>
    <w:rsid w:val="00BB4E41"/>
    <w:rsid w:val="00BC692A"/>
    <w:rsid w:val="00BD28DF"/>
    <w:rsid w:val="00BE015E"/>
    <w:rsid w:val="00BE1604"/>
    <w:rsid w:val="00BE712D"/>
    <w:rsid w:val="00BF1E88"/>
    <w:rsid w:val="00BF35D3"/>
    <w:rsid w:val="00BF47DA"/>
    <w:rsid w:val="00BF47E2"/>
    <w:rsid w:val="00BF7C4B"/>
    <w:rsid w:val="00C04CF0"/>
    <w:rsid w:val="00C05D12"/>
    <w:rsid w:val="00C06710"/>
    <w:rsid w:val="00C10C11"/>
    <w:rsid w:val="00C11C06"/>
    <w:rsid w:val="00C21BE3"/>
    <w:rsid w:val="00C23F41"/>
    <w:rsid w:val="00C24F24"/>
    <w:rsid w:val="00C33A91"/>
    <w:rsid w:val="00C342A8"/>
    <w:rsid w:val="00C345ED"/>
    <w:rsid w:val="00C34A7F"/>
    <w:rsid w:val="00C37EE5"/>
    <w:rsid w:val="00C432F2"/>
    <w:rsid w:val="00C44E7C"/>
    <w:rsid w:val="00C515CB"/>
    <w:rsid w:val="00C546BB"/>
    <w:rsid w:val="00C5762E"/>
    <w:rsid w:val="00C57BE9"/>
    <w:rsid w:val="00C665A7"/>
    <w:rsid w:val="00C66F7A"/>
    <w:rsid w:val="00C70134"/>
    <w:rsid w:val="00C72783"/>
    <w:rsid w:val="00C72ADC"/>
    <w:rsid w:val="00C743CB"/>
    <w:rsid w:val="00C7578A"/>
    <w:rsid w:val="00C75915"/>
    <w:rsid w:val="00C800A9"/>
    <w:rsid w:val="00C8159D"/>
    <w:rsid w:val="00C9032B"/>
    <w:rsid w:val="00C92473"/>
    <w:rsid w:val="00C94C23"/>
    <w:rsid w:val="00C97FF7"/>
    <w:rsid w:val="00CA0774"/>
    <w:rsid w:val="00CA43F7"/>
    <w:rsid w:val="00CB0888"/>
    <w:rsid w:val="00CB2173"/>
    <w:rsid w:val="00CB3A93"/>
    <w:rsid w:val="00CB729D"/>
    <w:rsid w:val="00CC26DE"/>
    <w:rsid w:val="00CC7A23"/>
    <w:rsid w:val="00CD30C7"/>
    <w:rsid w:val="00CD5097"/>
    <w:rsid w:val="00CD7C2D"/>
    <w:rsid w:val="00CE684A"/>
    <w:rsid w:val="00CE7942"/>
    <w:rsid w:val="00CF02BF"/>
    <w:rsid w:val="00CF1DF8"/>
    <w:rsid w:val="00CF2D29"/>
    <w:rsid w:val="00CF2D6F"/>
    <w:rsid w:val="00CF3664"/>
    <w:rsid w:val="00CF4CE1"/>
    <w:rsid w:val="00D021F5"/>
    <w:rsid w:val="00D04596"/>
    <w:rsid w:val="00D05753"/>
    <w:rsid w:val="00D06107"/>
    <w:rsid w:val="00D138CA"/>
    <w:rsid w:val="00D15165"/>
    <w:rsid w:val="00D20346"/>
    <w:rsid w:val="00D26A71"/>
    <w:rsid w:val="00D338C5"/>
    <w:rsid w:val="00D36133"/>
    <w:rsid w:val="00D41210"/>
    <w:rsid w:val="00D41997"/>
    <w:rsid w:val="00D42CC4"/>
    <w:rsid w:val="00D473DF"/>
    <w:rsid w:val="00D56AAD"/>
    <w:rsid w:val="00D71DA6"/>
    <w:rsid w:val="00D735F2"/>
    <w:rsid w:val="00D8646C"/>
    <w:rsid w:val="00DA569F"/>
    <w:rsid w:val="00DB0431"/>
    <w:rsid w:val="00DC09B6"/>
    <w:rsid w:val="00DC19E3"/>
    <w:rsid w:val="00DC1D07"/>
    <w:rsid w:val="00DC7FF4"/>
    <w:rsid w:val="00DD306C"/>
    <w:rsid w:val="00DD4FEF"/>
    <w:rsid w:val="00DD5B80"/>
    <w:rsid w:val="00DD78D9"/>
    <w:rsid w:val="00DE00D6"/>
    <w:rsid w:val="00DE5785"/>
    <w:rsid w:val="00DF00BC"/>
    <w:rsid w:val="00DF5C8D"/>
    <w:rsid w:val="00DF5FBA"/>
    <w:rsid w:val="00E0087D"/>
    <w:rsid w:val="00E012C0"/>
    <w:rsid w:val="00E01337"/>
    <w:rsid w:val="00E02E58"/>
    <w:rsid w:val="00E1202D"/>
    <w:rsid w:val="00E21B0E"/>
    <w:rsid w:val="00E229BF"/>
    <w:rsid w:val="00E23E4F"/>
    <w:rsid w:val="00E24A01"/>
    <w:rsid w:val="00E25A79"/>
    <w:rsid w:val="00E25B5D"/>
    <w:rsid w:val="00E26025"/>
    <w:rsid w:val="00E26CB2"/>
    <w:rsid w:val="00E311F5"/>
    <w:rsid w:val="00E318DE"/>
    <w:rsid w:val="00E34468"/>
    <w:rsid w:val="00E41C49"/>
    <w:rsid w:val="00E45BA2"/>
    <w:rsid w:val="00E524EC"/>
    <w:rsid w:val="00E54D3D"/>
    <w:rsid w:val="00E66389"/>
    <w:rsid w:val="00E6759F"/>
    <w:rsid w:val="00E823B9"/>
    <w:rsid w:val="00E83FEA"/>
    <w:rsid w:val="00E85335"/>
    <w:rsid w:val="00E915F4"/>
    <w:rsid w:val="00E97461"/>
    <w:rsid w:val="00EA268D"/>
    <w:rsid w:val="00EA2859"/>
    <w:rsid w:val="00EA3FF1"/>
    <w:rsid w:val="00EA7533"/>
    <w:rsid w:val="00EC0C2D"/>
    <w:rsid w:val="00EC3190"/>
    <w:rsid w:val="00ED3EB6"/>
    <w:rsid w:val="00ED780F"/>
    <w:rsid w:val="00ED7C47"/>
    <w:rsid w:val="00EE0999"/>
    <w:rsid w:val="00EE10AB"/>
    <w:rsid w:val="00EE3C42"/>
    <w:rsid w:val="00EF0823"/>
    <w:rsid w:val="00F0256E"/>
    <w:rsid w:val="00F04FD2"/>
    <w:rsid w:val="00F07BB0"/>
    <w:rsid w:val="00F1410B"/>
    <w:rsid w:val="00F175BA"/>
    <w:rsid w:val="00F20C3C"/>
    <w:rsid w:val="00F22924"/>
    <w:rsid w:val="00F25EB0"/>
    <w:rsid w:val="00F27E7C"/>
    <w:rsid w:val="00F33441"/>
    <w:rsid w:val="00F34D17"/>
    <w:rsid w:val="00F414A5"/>
    <w:rsid w:val="00F44A67"/>
    <w:rsid w:val="00F44DB4"/>
    <w:rsid w:val="00F45D1B"/>
    <w:rsid w:val="00F50DF8"/>
    <w:rsid w:val="00F57313"/>
    <w:rsid w:val="00F60C26"/>
    <w:rsid w:val="00F60D15"/>
    <w:rsid w:val="00F610F2"/>
    <w:rsid w:val="00F628CA"/>
    <w:rsid w:val="00F67F72"/>
    <w:rsid w:val="00F70485"/>
    <w:rsid w:val="00F7225F"/>
    <w:rsid w:val="00F727ED"/>
    <w:rsid w:val="00F72A67"/>
    <w:rsid w:val="00F83EDD"/>
    <w:rsid w:val="00F84A7D"/>
    <w:rsid w:val="00F87C3B"/>
    <w:rsid w:val="00F9071A"/>
    <w:rsid w:val="00F935B1"/>
    <w:rsid w:val="00F93F18"/>
    <w:rsid w:val="00F94761"/>
    <w:rsid w:val="00F96963"/>
    <w:rsid w:val="00FA49BB"/>
    <w:rsid w:val="00FA54F1"/>
    <w:rsid w:val="00FA75D2"/>
    <w:rsid w:val="00FB3513"/>
    <w:rsid w:val="00FB3A0E"/>
    <w:rsid w:val="00FB7C17"/>
    <w:rsid w:val="00FC1321"/>
    <w:rsid w:val="00FC17E1"/>
    <w:rsid w:val="00FC1865"/>
    <w:rsid w:val="00FC26AD"/>
    <w:rsid w:val="00FD2732"/>
    <w:rsid w:val="00FE0EDB"/>
    <w:rsid w:val="00FE624A"/>
    <w:rsid w:val="00FF7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1BE70"/>
  <w15:chartTrackingRefBased/>
  <w15:docId w15:val="{EA160BC6-B904-414F-A1F9-4E35E0EE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E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CC">
    <w:name w:val="TJCC第ㄧ行"/>
    <w:basedOn w:val="a"/>
    <w:autoRedefine/>
    <w:rsid w:val="00917CF5"/>
    <w:pPr>
      <w:keepNext/>
      <w:keepLines/>
      <w:numPr>
        <w:numId w:val="2"/>
      </w:numPr>
      <w:suppressAutoHyphens/>
      <w:overflowPunct w:val="0"/>
      <w:adjustRightInd w:val="0"/>
      <w:snapToGrid w:val="0"/>
      <w:spacing w:line="320" w:lineRule="exact"/>
      <w:jc w:val="both"/>
      <w:outlineLvl w:val="0"/>
    </w:pPr>
    <w:rPr>
      <w:rFonts w:ascii="Tahoma" w:eastAsia="華康細圓體" w:hAnsi="標楷體" w:cs="新細明體"/>
      <w:color w:val="0000FF"/>
      <w:szCs w:val="28"/>
    </w:rPr>
  </w:style>
  <w:style w:type="paragraph" w:customStyle="1" w:styleId="TJCC0">
    <w:name w:val="TJCC第二行名字"/>
    <w:basedOn w:val="a"/>
    <w:autoRedefine/>
    <w:rsid w:val="00917CF5"/>
    <w:pPr>
      <w:keepLines/>
      <w:tabs>
        <w:tab w:val="left" w:pos="680"/>
      </w:tabs>
      <w:suppressAutoHyphens/>
      <w:adjustRightInd w:val="0"/>
      <w:snapToGrid w:val="0"/>
      <w:spacing w:before="120" w:after="120" w:line="280" w:lineRule="exact"/>
      <w:ind w:leftChars="280" w:left="280"/>
      <w:jc w:val="both"/>
      <w:outlineLvl w:val="1"/>
    </w:pPr>
    <w:rPr>
      <w:rFonts w:ascii="Tahoma" w:eastAsia="華康細圓體" w:hAnsi="標楷體" w:cs="新細明體"/>
      <w:color w:val="339966"/>
      <w:lang w:val="de-DE"/>
    </w:rPr>
  </w:style>
  <w:style w:type="paragraph" w:customStyle="1" w:styleId="TJCC1">
    <w:name w:val="TJCC第三行醫院"/>
    <w:basedOn w:val="a"/>
    <w:autoRedefine/>
    <w:rsid w:val="004109DA"/>
    <w:pPr>
      <w:kinsoku w:val="0"/>
      <w:overflowPunct w:val="0"/>
      <w:autoSpaceDE w:val="0"/>
      <w:autoSpaceDN w:val="0"/>
      <w:adjustRightInd w:val="0"/>
      <w:spacing w:beforeLines="50" w:before="180" w:line="240" w:lineRule="exact"/>
      <w:textAlignment w:val="baseline"/>
    </w:pPr>
    <w:rPr>
      <w:rFonts w:ascii="Tahoma" w:eastAsia="華康細圓體" w:hAnsi="Tahoma" w:cs="Tunga"/>
      <w:noProof/>
      <w:kern w:val="0"/>
    </w:rPr>
  </w:style>
  <w:style w:type="character" w:styleId="a3">
    <w:name w:val="Hyperlink"/>
    <w:rsid w:val="00A55E9C"/>
    <w:rPr>
      <w:color w:val="0000FF"/>
      <w:u w:val="single"/>
    </w:rPr>
  </w:style>
  <w:style w:type="paragraph" w:styleId="a4">
    <w:name w:val="Body Text"/>
    <w:basedOn w:val="a"/>
    <w:rsid w:val="00A55E9C"/>
    <w:pPr>
      <w:spacing w:after="120"/>
    </w:pPr>
  </w:style>
  <w:style w:type="table" w:styleId="a5">
    <w:name w:val="Table Grid"/>
    <w:basedOn w:val="a1"/>
    <w:rsid w:val="00A55E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2">
    <w:name w:val="h12"/>
    <w:rsid w:val="00A55E9C"/>
    <w:rPr>
      <w:b/>
      <w:bCs/>
      <w:vanish w:val="0"/>
      <w:webHidden w:val="0"/>
      <w:color w:val="336633"/>
      <w:bdr w:val="double" w:sz="6" w:space="3" w:color="CCCCCC" w:frame="1"/>
      <w:specVanish w:val="0"/>
    </w:rPr>
  </w:style>
  <w:style w:type="paragraph" w:styleId="a6">
    <w:name w:val="header"/>
    <w:basedOn w:val="a"/>
    <w:link w:val="a7"/>
    <w:rsid w:val="006F4305"/>
    <w:pPr>
      <w:tabs>
        <w:tab w:val="center" w:pos="4153"/>
        <w:tab w:val="right" w:pos="8306"/>
      </w:tabs>
      <w:snapToGrid w:val="0"/>
    </w:pPr>
    <w:rPr>
      <w:sz w:val="20"/>
      <w:szCs w:val="20"/>
    </w:rPr>
  </w:style>
  <w:style w:type="character" w:customStyle="1" w:styleId="a7">
    <w:name w:val="頁首 字元"/>
    <w:link w:val="a6"/>
    <w:rsid w:val="006F4305"/>
    <w:rPr>
      <w:kern w:val="2"/>
    </w:rPr>
  </w:style>
  <w:style w:type="paragraph" w:styleId="a8">
    <w:name w:val="footer"/>
    <w:basedOn w:val="a"/>
    <w:link w:val="a9"/>
    <w:rsid w:val="006F4305"/>
    <w:pPr>
      <w:tabs>
        <w:tab w:val="center" w:pos="4153"/>
        <w:tab w:val="right" w:pos="8306"/>
      </w:tabs>
      <w:snapToGrid w:val="0"/>
    </w:pPr>
    <w:rPr>
      <w:sz w:val="20"/>
      <w:szCs w:val="20"/>
    </w:rPr>
  </w:style>
  <w:style w:type="character" w:customStyle="1" w:styleId="a9">
    <w:name w:val="頁尾 字元"/>
    <w:link w:val="a8"/>
    <w:rsid w:val="006F43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351</Words>
  <Characters>2001</Characters>
  <Application>Microsoft Office Word</Application>
  <DocSecurity>0</DocSecurity>
  <Lines>16</Lines>
  <Paragraphs>4</Paragraphs>
  <ScaleCrop>false</ScaleCrop>
  <Company>CMT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BCST</dc:creator>
  <cp:keywords/>
  <dc:description/>
  <cp:lastModifiedBy>MOI SIN HUA</cp:lastModifiedBy>
  <cp:revision>10</cp:revision>
  <cp:lastPrinted>2012-02-07T02:56:00Z</cp:lastPrinted>
  <dcterms:created xsi:type="dcterms:W3CDTF">2024-07-24T04:52:00Z</dcterms:created>
  <dcterms:modified xsi:type="dcterms:W3CDTF">2024-07-24T12:29:00Z</dcterms:modified>
</cp:coreProperties>
</file>