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98C9" w14:textId="0CBB5D5F" w:rsidR="00A4781F" w:rsidRPr="00CA0B26" w:rsidRDefault="0091546E" w:rsidP="0091546E">
      <w:pPr>
        <w:jc w:val="center"/>
        <w:rPr>
          <w:rFonts w:ascii="Tahoma" w:hAnsi="Tahoma" w:cs="Tahoma"/>
          <w:sz w:val="28"/>
          <w:szCs w:val="28"/>
        </w:rPr>
      </w:pPr>
      <w:r w:rsidRPr="00CA0B26">
        <w:rPr>
          <w:rFonts w:ascii="Tahoma" w:hAnsi="Tahoma" w:cs="Tahoma"/>
          <w:sz w:val="28"/>
          <w:szCs w:val="28"/>
        </w:rPr>
        <w:t>The application of a PI3K inhibitor and an AKT inhibitor in HER2-positive breast cancer cells with resistance to HER2-directed antibody-drug conjugates</w:t>
      </w:r>
    </w:p>
    <w:p w14:paraId="134FAB80" w14:textId="6E01059A" w:rsidR="0091546E" w:rsidRPr="00C042EF" w:rsidRDefault="0091546E" w:rsidP="00CA0B26">
      <w:pPr>
        <w:spacing w:after="0" w:line="360" w:lineRule="exact"/>
        <w:rPr>
          <w:rFonts w:ascii="Tahoma" w:hAnsi="Tahoma" w:cs="Tahoma"/>
          <w:sz w:val="22"/>
          <w:szCs w:val="22"/>
        </w:rPr>
      </w:pPr>
      <w:r w:rsidRPr="00CA0B26">
        <w:rPr>
          <w:rFonts w:ascii="Tahoma" w:hAnsi="Tahoma" w:cs="Tahoma"/>
          <w:b/>
          <w:bCs/>
          <w:sz w:val="22"/>
          <w:szCs w:val="22"/>
          <w:u w:val="single"/>
        </w:rPr>
        <w:t>Wei-Pang Chung</w:t>
      </w:r>
      <w:r>
        <w:rPr>
          <w:rFonts w:ascii="Tahoma" w:hAnsi="Tahoma" w:cs="Tahoma"/>
          <w:sz w:val="22"/>
          <w:szCs w:val="22"/>
          <w:vertAlign w:val="superscript"/>
        </w:rPr>
        <w:t>1,2</w:t>
      </w:r>
      <w:r w:rsidRPr="0091546E">
        <w:rPr>
          <w:rFonts w:ascii="Tahoma" w:hAnsi="Tahoma" w:cs="Tahoma"/>
          <w:sz w:val="22"/>
          <w:szCs w:val="22"/>
        </w:rPr>
        <w:t>, Wei-Lun Huang</w:t>
      </w:r>
      <w:r w:rsidRPr="00CA0B26">
        <w:rPr>
          <w:rFonts w:ascii="Tahoma" w:hAnsi="Tahoma" w:cs="Tahoma"/>
          <w:sz w:val="22"/>
          <w:szCs w:val="22"/>
          <w:vertAlign w:val="superscript"/>
        </w:rPr>
        <w:t xml:space="preserve">2, </w:t>
      </w:r>
      <w:r w:rsidR="00B44A46">
        <w:rPr>
          <w:rFonts w:ascii="Tahoma" w:hAnsi="Tahoma" w:cs="Tahoma"/>
          <w:sz w:val="22"/>
          <w:szCs w:val="22"/>
          <w:vertAlign w:val="superscript"/>
        </w:rPr>
        <w:t>3</w:t>
      </w:r>
      <w:r w:rsidRPr="0091546E">
        <w:rPr>
          <w:rFonts w:ascii="Tahoma" w:hAnsi="Tahoma" w:cs="Tahoma"/>
          <w:sz w:val="22"/>
          <w:szCs w:val="22"/>
        </w:rPr>
        <w:t>, Chun-Hui Lee</w:t>
      </w:r>
      <w:r w:rsidRPr="00CA0B26">
        <w:rPr>
          <w:rFonts w:ascii="Tahoma" w:hAnsi="Tahoma" w:cs="Tahoma"/>
          <w:sz w:val="22"/>
          <w:szCs w:val="22"/>
          <w:vertAlign w:val="superscript"/>
        </w:rPr>
        <w:t xml:space="preserve">1, 2, </w:t>
      </w:r>
      <w:r w:rsidR="00B44A46">
        <w:rPr>
          <w:rFonts w:ascii="Tahoma" w:hAnsi="Tahoma" w:cs="Tahoma"/>
          <w:sz w:val="22"/>
          <w:szCs w:val="22"/>
          <w:vertAlign w:val="superscript"/>
        </w:rPr>
        <w:t>4</w:t>
      </w:r>
      <w:r w:rsidRPr="0091546E">
        <w:rPr>
          <w:rFonts w:ascii="Tahoma" w:hAnsi="Tahoma" w:cs="Tahoma"/>
          <w:sz w:val="22"/>
          <w:szCs w:val="22"/>
        </w:rPr>
        <w:t>, Hui-Ping Hsu</w:t>
      </w:r>
      <w:r w:rsidRPr="00CA0B26">
        <w:rPr>
          <w:rFonts w:ascii="Tahoma" w:hAnsi="Tahoma" w:cs="Tahoma"/>
          <w:sz w:val="22"/>
          <w:szCs w:val="22"/>
          <w:vertAlign w:val="superscript"/>
        </w:rPr>
        <w:t>5</w:t>
      </w:r>
      <w:r w:rsidRPr="0091546E">
        <w:rPr>
          <w:rFonts w:ascii="Tahoma" w:hAnsi="Tahoma" w:cs="Tahoma"/>
          <w:sz w:val="22"/>
          <w:szCs w:val="22"/>
        </w:rPr>
        <w:t xml:space="preserve">, </w:t>
      </w:r>
      <w:r w:rsidR="00A67E1D" w:rsidRPr="008B35E9">
        <w:rPr>
          <w:rFonts w:ascii="Tahoma" w:hAnsi="Tahoma" w:cs="Tahoma"/>
          <w:sz w:val="22"/>
          <w:szCs w:val="22"/>
        </w:rPr>
        <w:t>Kuo-Ting Lee</w:t>
      </w:r>
      <w:r w:rsidR="00A67E1D" w:rsidRPr="00CA0B26">
        <w:rPr>
          <w:rFonts w:ascii="Tahoma" w:hAnsi="Tahoma" w:cs="Tahoma"/>
          <w:sz w:val="22"/>
          <w:szCs w:val="22"/>
          <w:vertAlign w:val="superscript"/>
        </w:rPr>
        <w:t>5</w:t>
      </w:r>
      <w:r w:rsidR="00A67E1D">
        <w:rPr>
          <w:rFonts w:ascii="Tahoma" w:hAnsi="Tahoma" w:cs="Tahoma"/>
          <w:sz w:val="22"/>
          <w:szCs w:val="22"/>
        </w:rPr>
        <w:t xml:space="preserve">, </w:t>
      </w:r>
      <w:r w:rsidR="00A67E1D" w:rsidRPr="008B35E9">
        <w:rPr>
          <w:rFonts w:ascii="Tahoma" w:hAnsi="Tahoma" w:cs="Tahoma"/>
          <w:sz w:val="22"/>
          <w:szCs w:val="22"/>
        </w:rPr>
        <w:t>Zhu-Jun Loh</w:t>
      </w:r>
      <w:r w:rsidR="00A67E1D" w:rsidRPr="00CA0B26">
        <w:rPr>
          <w:rFonts w:ascii="Tahoma" w:hAnsi="Tahoma" w:cs="Tahoma"/>
          <w:sz w:val="22"/>
          <w:szCs w:val="22"/>
          <w:vertAlign w:val="superscript"/>
        </w:rPr>
        <w:t>5</w:t>
      </w:r>
      <w:r w:rsidR="00A67E1D">
        <w:rPr>
          <w:rFonts w:ascii="Tahoma" w:hAnsi="Tahoma" w:cs="Tahoma"/>
          <w:sz w:val="22"/>
          <w:szCs w:val="22"/>
        </w:rPr>
        <w:t>,</w:t>
      </w:r>
      <w:r w:rsidR="00A67E1D">
        <w:rPr>
          <w:rFonts w:ascii="Tahoma" w:hAnsi="Tahoma" w:cs="Tahoma"/>
          <w:sz w:val="22"/>
          <w:szCs w:val="22"/>
        </w:rPr>
        <w:t xml:space="preserve"> </w:t>
      </w:r>
      <w:r w:rsidRPr="0091546E">
        <w:rPr>
          <w:rFonts w:ascii="Tahoma" w:hAnsi="Tahoma" w:cs="Tahoma"/>
          <w:sz w:val="22"/>
          <w:szCs w:val="22"/>
        </w:rPr>
        <w:t>Wan-Ling Huang</w:t>
      </w:r>
      <w:r w:rsidRPr="00CA0B26">
        <w:rPr>
          <w:rFonts w:ascii="Tahoma" w:hAnsi="Tahoma" w:cs="Tahoma"/>
          <w:sz w:val="22"/>
          <w:szCs w:val="22"/>
          <w:vertAlign w:val="superscript"/>
        </w:rPr>
        <w:t>2</w:t>
      </w:r>
      <w:r w:rsidRPr="0091546E">
        <w:rPr>
          <w:rFonts w:ascii="Tahoma" w:hAnsi="Tahoma" w:cs="Tahoma"/>
          <w:sz w:val="22"/>
          <w:szCs w:val="22"/>
        </w:rPr>
        <w:t>, You-Yu Liu</w:t>
      </w:r>
      <w:r w:rsidRPr="00CA0B26">
        <w:rPr>
          <w:rFonts w:ascii="Tahoma" w:hAnsi="Tahoma" w:cs="Tahoma"/>
          <w:sz w:val="22"/>
          <w:szCs w:val="22"/>
          <w:vertAlign w:val="superscript"/>
        </w:rPr>
        <w:t>2,6</w:t>
      </w:r>
    </w:p>
    <w:p w14:paraId="75D11C40" w14:textId="77777777" w:rsidR="00CA0B26" w:rsidRDefault="00CA0B26" w:rsidP="00CA0B26">
      <w:pPr>
        <w:snapToGrid w:val="0"/>
        <w:spacing w:after="0" w:line="0" w:lineRule="atLeast"/>
        <w:rPr>
          <w:rFonts w:ascii="Tahoma" w:hAnsi="Tahoma" w:cs="Tahoma"/>
          <w:sz w:val="20"/>
          <w:szCs w:val="20"/>
          <w:vertAlign w:val="superscript"/>
        </w:rPr>
      </w:pPr>
    </w:p>
    <w:p w14:paraId="77641CF8" w14:textId="02CFB7F6" w:rsidR="00CA0B26" w:rsidRPr="00CA0B26" w:rsidRDefault="00CA0B26" w:rsidP="00CA0B26">
      <w:pPr>
        <w:snapToGrid w:val="0"/>
        <w:spacing w:after="0" w:line="0" w:lineRule="atLeast"/>
        <w:rPr>
          <w:rFonts w:ascii="Tahoma" w:hAnsi="Tahoma" w:cs="Tahoma"/>
          <w:sz w:val="20"/>
          <w:szCs w:val="20"/>
        </w:rPr>
      </w:pPr>
      <w:r w:rsidRPr="00CA0B26">
        <w:rPr>
          <w:rFonts w:ascii="Tahoma" w:hAnsi="Tahoma" w:cs="Tahoma"/>
          <w:sz w:val="20"/>
          <w:szCs w:val="20"/>
          <w:vertAlign w:val="superscript"/>
        </w:rPr>
        <w:t>1</w:t>
      </w:r>
      <w:r w:rsidRPr="00CA0B26">
        <w:rPr>
          <w:rFonts w:ascii="Tahoma" w:hAnsi="Tahoma" w:cs="Tahoma"/>
          <w:sz w:val="20"/>
          <w:szCs w:val="20"/>
        </w:rPr>
        <w:t>Department of Oncology, National Cheng Kung University Hospital, College of Medicine, National Cheng Kung University, Tainan, Taiwan.</w:t>
      </w:r>
    </w:p>
    <w:p w14:paraId="56B8510D" w14:textId="77777777" w:rsidR="00CA0B26" w:rsidRPr="00CA0B26" w:rsidRDefault="00CA0B26" w:rsidP="00CA0B26">
      <w:pPr>
        <w:snapToGrid w:val="0"/>
        <w:spacing w:after="0" w:line="0" w:lineRule="atLeast"/>
        <w:rPr>
          <w:rFonts w:ascii="Tahoma" w:hAnsi="Tahoma" w:cs="Tahoma"/>
          <w:sz w:val="20"/>
          <w:szCs w:val="20"/>
        </w:rPr>
      </w:pPr>
      <w:r w:rsidRPr="00CA0B26">
        <w:rPr>
          <w:rFonts w:ascii="Tahoma" w:hAnsi="Tahoma" w:cs="Tahoma"/>
          <w:sz w:val="20"/>
          <w:szCs w:val="20"/>
          <w:vertAlign w:val="superscript"/>
        </w:rPr>
        <w:t>2</w:t>
      </w:r>
      <w:r w:rsidRPr="00CA0B26">
        <w:rPr>
          <w:rFonts w:ascii="Tahoma" w:hAnsi="Tahoma" w:cs="Tahoma"/>
          <w:sz w:val="20"/>
          <w:szCs w:val="20"/>
        </w:rPr>
        <w:t>Center of Applied Nanomedicine, National Cheng Kung University, Tainan, Taiwan.</w:t>
      </w:r>
    </w:p>
    <w:p w14:paraId="41DC49D4" w14:textId="72F50DF9" w:rsidR="00B44A46" w:rsidRPr="00CA0B26" w:rsidRDefault="00B44A46" w:rsidP="00B44A46">
      <w:pPr>
        <w:snapToGrid w:val="0"/>
        <w:spacing w:after="0" w:line="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vertAlign w:val="superscript"/>
        </w:rPr>
        <w:t>3</w:t>
      </w:r>
      <w:r w:rsidRPr="00CA0B26">
        <w:rPr>
          <w:rFonts w:ascii="Tahoma" w:hAnsi="Tahoma" w:cs="Tahoma"/>
          <w:sz w:val="20"/>
          <w:szCs w:val="20"/>
        </w:rPr>
        <w:t>Department of Medical Laboratory Science and Biotechnology, College of Medicine, National Cheng Kung University, Tainan, Taiwan</w:t>
      </w:r>
    </w:p>
    <w:p w14:paraId="780A3C68" w14:textId="53FCEDC3" w:rsidR="00CA0B26" w:rsidRPr="00CA0B26" w:rsidRDefault="00B44A46" w:rsidP="00CA0B26">
      <w:pPr>
        <w:snapToGrid w:val="0"/>
        <w:spacing w:after="0" w:line="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CA0B26">
        <w:rPr>
          <w:rFonts w:ascii="Tahoma" w:hAnsi="Tahoma" w:cs="Tahoma"/>
          <w:sz w:val="20"/>
          <w:szCs w:val="20"/>
        </w:rPr>
        <w:t xml:space="preserve">Institute </w:t>
      </w:r>
      <w:r w:rsidR="00CA0B26" w:rsidRPr="00CA0B26">
        <w:rPr>
          <w:rFonts w:ascii="Tahoma" w:hAnsi="Tahoma" w:cs="Tahoma"/>
          <w:sz w:val="20"/>
          <w:szCs w:val="20"/>
        </w:rPr>
        <w:t>of Clinical Medicine, College of Medicine, National Cheng Kung University, Tainan, Taiwan.</w:t>
      </w:r>
    </w:p>
    <w:p w14:paraId="433EC6C8" w14:textId="77777777" w:rsidR="00CA0B26" w:rsidRPr="00CA0B26" w:rsidRDefault="00CA0B26" w:rsidP="00CA0B26">
      <w:pPr>
        <w:snapToGrid w:val="0"/>
        <w:spacing w:after="0" w:line="0" w:lineRule="atLeast"/>
        <w:rPr>
          <w:rFonts w:ascii="Tahoma" w:hAnsi="Tahoma" w:cs="Tahoma"/>
          <w:sz w:val="20"/>
          <w:szCs w:val="20"/>
        </w:rPr>
      </w:pPr>
      <w:r w:rsidRPr="00CA0B26">
        <w:rPr>
          <w:rFonts w:ascii="Tahoma" w:hAnsi="Tahoma" w:cs="Tahoma"/>
          <w:sz w:val="20"/>
          <w:szCs w:val="20"/>
          <w:vertAlign w:val="superscript"/>
        </w:rPr>
        <w:t>5</w:t>
      </w:r>
      <w:r w:rsidRPr="00CA0B26">
        <w:rPr>
          <w:rFonts w:ascii="Tahoma" w:hAnsi="Tahoma" w:cs="Tahoma"/>
          <w:sz w:val="20"/>
          <w:szCs w:val="20"/>
        </w:rPr>
        <w:t>Department of Surgery, National Cheng Kung University Hospital, College of Medicine, National Cheng Kung University, Tainan, Taiwan.</w:t>
      </w:r>
    </w:p>
    <w:p w14:paraId="270A23CC" w14:textId="5A5CC31E" w:rsidR="0091546E" w:rsidRDefault="00CA0B26" w:rsidP="00CA0B26">
      <w:pPr>
        <w:snapToGrid w:val="0"/>
        <w:spacing w:after="0" w:line="0" w:lineRule="atLeast"/>
        <w:rPr>
          <w:rFonts w:ascii="Tahoma" w:hAnsi="Tahoma" w:cs="Tahoma"/>
          <w:sz w:val="20"/>
          <w:szCs w:val="20"/>
        </w:rPr>
      </w:pPr>
      <w:r w:rsidRPr="00CA0B26">
        <w:rPr>
          <w:rFonts w:ascii="Tahoma" w:hAnsi="Tahoma" w:cs="Tahoma"/>
          <w:sz w:val="20"/>
          <w:szCs w:val="20"/>
          <w:vertAlign w:val="superscript"/>
        </w:rPr>
        <w:t>6</w:t>
      </w:r>
      <w:r w:rsidRPr="00CA0B26">
        <w:rPr>
          <w:rFonts w:ascii="Tahoma" w:hAnsi="Tahoma" w:cs="Tahoma"/>
          <w:sz w:val="20"/>
          <w:szCs w:val="20"/>
        </w:rPr>
        <w:t>Institute of Basic Medical Science, College of Medicine, National Cheng Kung University, Tainan, Taiwan.</w:t>
      </w:r>
    </w:p>
    <w:p w14:paraId="1119FE87" w14:textId="77777777" w:rsidR="00CA0B26" w:rsidRDefault="00CA0B26" w:rsidP="00CA0B26">
      <w:pPr>
        <w:snapToGrid w:val="0"/>
        <w:spacing w:after="0" w:line="0" w:lineRule="atLeast"/>
        <w:rPr>
          <w:rFonts w:ascii="Tahoma" w:hAnsi="Tahoma" w:cs="Tahoma"/>
          <w:sz w:val="20"/>
          <w:szCs w:val="20"/>
        </w:rPr>
      </w:pPr>
    </w:p>
    <w:p w14:paraId="2F339236" w14:textId="7EC6A775" w:rsidR="00CA0B26" w:rsidRDefault="00CA0B26" w:rsidP="00EC26B2">
      <w:pPr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Purpose</w:t>
      </w:r>
    </w:p>
    <w:p w14:paraId="687CE81F" w14:textId="5B39F732" w:rsidR="00CA0B26" w:rsidRPr="007E6E90" w:rsidRDefault="007837B7" w:rsidP="00CA0B26">
      <w:pPr>
        <w:autoSpaceDE w:val="0"/>
        <w:autoSpaceDN w:val="0"/>
        <w:adjustRightInd w:val="0"/>
        <w:spacing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  <w:r>
        <w:rPr>
          <w:rFonts w:ascii="Tahoma" w:eastAsia="細明體" w:hAnsi="Tahoma" w:cs="Tahoma"/>
          <w:kern w:val="0"/>
          <w:sz w:val="22"/>
          <w:szCs w:val="22"/>
        </w:rPr>
        <w:t>T</w:t>
      </w:r>
      <w:r w:rsidR="00EC26B2" w:rsidRPr="00EC26B2">
        <w:rPr>
          <w:rFonts w:ascii="Tahoma" w:eastAsia="細明體" w:hAnsi="Tahoma" w:cs="Tahoma"/>
          <w:kern w:val="0"/>
          <w:sz w:val="22"/>
          <w:szCs w:val="22"/>
        </w:rPr>
        <w:t xml:space="preserve">here is no standard approach for </w:t>
      </w:r>
      <w:r w:rsidR="00F75906">
        <w:rPr>
          <w:rFonts w:ascii="Tahoma" w:eastAsia="細明體" w:hAnsi="Tahoma" w:cs="Tahoma" w:hint="eastAsia"/>
          <w:kern w:val="0"/>
          <w:sz w:val="22"/>
          <w:szCs w:val="22"/>
        </w:rPr>
        <w:t xml:space="preserve">resistance to </w:t>
      </w:r>
      <w:r w:rsidR="00F75906" w:rsidRPr="00F75906">
        <w:rPr>
          <w:rFonts w:ascii="Tahoma" w:eastAsia="細明體" w:hAnsi="Tahoma" w:cs="Tahoma"/>
          <w:kern w:val="0"/>
          <w:sz w:val="22"/>
          <w:szCs w:val="22"/>
        </w:rPr>
        <w:t>trastuzumab deruxtecan</w:t>
      </w:r>
      <w:r w:rsidR="00F75906">
        <w:rPr>
          <w:rFonts w:ascii="Tahoma" w:eastAsia="細明體" w:hAnsi="Tahoma" w:cs="Tahoma" w:hint="eastAsia"/>
          <w:kern w:val="0"/>
          <w:sz w:val="22"/>
          <w:szCs w:val="22"/>
        </w:rPr>
        <w:t xml:space="preserve"> in</w:t>
      </w:r>
      <w:r w:rsidR="00EC26B2" w:rsidRPr="00EC26B2">
        <w:rPr>
          <w:rFonts w:ascii="Tahoma" w:eastAsia="細明體" w:hAnsi="Tahoma" w:cs="Tahoma"/>
          <w:kern w:val="0"/>
          <w:sz w:val="22"/>
          <w:szCs w:val="22"/>
        </w:rPr>
        <w:t xml:space="preserve"> HER2-positive breast cancer</w:t>
      </w:r>
      <w:r w:rsidR="00F75906">
        <w:rPr>
          <w:rFonts w:ascii="Tahoma" w:eastAsia="細明體" w:hAnsi="Tahoma" w:cs="Tahoma" w:hint="eastAsia"/>
          <w:kern w:val="0"/>
          <w:sz w:val="22"/>
          <w:szCs w:val="22"/>
        </w:rPr>
        <w:t xml:space="preserve">. </w:t>
      </w:r>
      <w:r>
        <w:rPr>
          <w:rFonts w:ascii="Tahoma" w:eastAsia="細明體" w:hAnsi="Tahoma" w:cs="Tahoma"/>
          <w:kern w:val="0"/>
          <w:sz w:val="22"/>
          <w:szCs w:val="22"/>
        </w:rPr>
        <w:t>We aim</w:t>
      </w:r>
      <w:r w:rsidR="00EC26B2" w:rsidRPr="00EC26B2">
        <w:rPr>
          <w:rFonts w:ascii="Tahoma" w:eastAsia="細明體" w:hAnsi="Tahoma" w:cs="Tahoma"/>
          <w:kern w:val="0"/>
          <w:sz w:val="22"/>
          <w:szCs w:val="22"/>
        </w:rPr>
        <w:t xml:space="preserve"> to develop strategies </w:t>
      </w:r>
      <w:r w:rsidR="00F75906">
        <w:rPr>
          <w:rFonts w:ascii="Tahoma" w:eastAsia="細明體" w:hAnsi="Tahoma" w:cs="Tahoma" w:hint="eastAsia"/>
          <w:kern w:val="0"/>
          <w:sz w:val="22"/>
          <w:szCs w:val="22"/>
        </w:rPr>
        <w:t>using</w:t>
      </w:r>
      <w:r w:rsidR="00EC26B2" w:rsidRPr="00EC26B2">
        <w:rPr>
          <w:rFonts w:ascii="Tahoma" w:eastAsia="細明體" w:hAnsi="Tahoma" w:cs="Tahoma"/>
          <w:kern w:val="0"/>
          <w:sz w:val="22"/>
          <w:szCs w:val="22"/>
        </w:rPr>
        <w:t xml:space="preserve"> both PI3K and AKT inhibitors in cells that have </w:t>
      </w:r>
      <w:r w:rsidR="00EC26B2" w:rsidRPr="0098199C">
        <w:rPr>
          <w:rFonts w:ascii="Tahoma" w:eastAsia="細明體" w:hAnsi="Tahoma" w:cs="Tahoma"/>
          <w:i/>
          <w:iCs/>
          <w:kern w:val="0"/>
          <w:sz w:val="22"/>
          <w:szCs w:val="22"/>
        </w:rPr>
        <w:t>PIK3CA</w:t>
      </w:r>
      <w:r w:rsidR="00EC26B2" w:rsidRPr="00EC26B2">
        <w:rPr>
          <w:rFonts w:ascii="Tahoma" w:eastAsia="細明體" w:hAnsi="Tahoma" w:cs="Tahoma"/>
          <w:kern w:val="0"/>
          <w:sz w:val="22"/>
          <w:szCs w:val="22"/>
        </w:rPr>
        <w:t xml:space="preserve"> mutations and are resistant to </w:t>
      </w:r>
      <w:r w:rsidR="0098199C">
        <w:rPr>
          <w:rFonts w:ascii="Tahoma" w:eastAsia="細明體" w:hAnsi="Tahoma" w:cs="Tahoma" w:hint="eastAsia"/>
          <w:kern w:val="0"/>
          <w:sz w:val="22"/>
          <w:szCs w:val="22"/>
        </w:rPr>
        <w:t>antibody-drug conjugates (</w:t>
      </w:r>
      <w:r w:rsidR="00EC26B2" w:rsidRPr="00EC26B2">
        <w:rPr>
          <w:rFonts w:ascii="Tahoma" w:eastAsia="細明體" w:hAnsi="Tahoma" w:cs="Tahoma"/>
          <w:kern w:val="0"/>
          <w:sz w:val="22"/>
          <w:szCs w:val="22"/>
        </w:rPr>
        <w:t>ADCs</w:t>
      </w:r>
      <w:r w:rsidR="0098199C">
        <w:rPr>
          <w:rFonts w:ascii="Tahoma" w:eastAsia="細明體" w:hAnsi="Tahoma" w:cs="Tahoma" w:hint="eastAsia"/>
          <w:kern w:val="0"/>
          <w:sz w:val="22"/>
          <w:szCs w:val="22"/>
        </w:rPr>
        <w:t>)</w:t>
      </w:r>
      <w:r w:rsidR="00EC26B2" w:rsidRPr="00EC26B2">
        <w:rPr>
          <w:rFonts w:ascii="Tahoma" w:eastAsia="細明體" w:hAnsi="Tahoma" w:cs="Tahoma"/>
          <w:kern w:val="0"/>
          <w:sz w:val="22"/>
          <w:szCs w:val="22"/>
        </w:rPr>
        <w:t>.</w:t>
      </w:r>
    </w:p>
    <w:p w14:paraId="1AE1EA8B" w14:textId="77777777" w:rsidR="00CA0B26" w:rsidRPr="00C44E7C" w:rsidRDefault="00CA0B26" w:rsidP="00CA0B26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Materials and Methods</w:t>
      </w:r>
    </w:p>
    <w:p w14:paraId="6F97B892" w14:textId="7C015265" w:rsidR="00CA0B26" w:rsidRDefault="007837B7" w:rsidP="00981F03">
      <w:pPr>
        <w:autoSpaceDE w:val="0"/>
        <w:autoSpaceDN w:val="0"/>
        <w:adjustRightInd w:val="0"/>
        <w:spacing w:after="0" w:line="360" w:lineRule="exact"/>
        <w:jc w:val="both"/>
        <w:rPr>
          <w:rFonts w:ascii="Tahoma" w:eastAsia="Univers" w:hAnsi="Tahoma" w:cs="Tahoma"/>
          <w:color w:val="231F20"/>
          <w:kern w:val="0"/>
          <w:sz w:val="22"/>
          <w:szCs w:val="22"/>
        </w:rPr>
      </w:pPr>
      <w:r>
        <w:rPr>
          <w:rFonts w:ascii="Tahoma" w:eastAsia="Univers" w:hAnsi="Tahoma" w:cs="Tahoma"/>
          <w:color w:val="231F20"/>
          <w:kern w:val="0"/>
          <w:sz w:val="22"/>
          <w:szCs w:val="22"/>
        </w:rPr>
        <w:t>We developed f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>ive breast cancer cell lines</w:t>
      </w:r>
      <w:r w:rsidR="00F75906">
        <w:rPr>
          <w:rFonts w:ascii="Tahoma" w:hAnsi="Tahoma" w:cs="Tahoma" w:hint="eastAsia"/>
          <w:color w:val="231F20"/>
          <w:kern w:val="0"/>
          <w:sz w:val="22"/>
          <w:szCs w:val="22"/>
        </w:rPr>
        <w:t xml:space="preserve"> with resistance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to ADCs from HCC1954 cells.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C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>ell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s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were subjected to varying doses of trastuzumab emtansine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or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</w:t>
      </w:r>
      <w:r w:rsidR="0070273F" w:rsidRPr="00F75906">
        <w:rPr>
          <w:rFonts w:ascii="Tahoma" w:eastAsia="細明體" w:hAnsi="Tahoma" w:cs="Tahoma"/>
          <w:kern w:val="0"/>
          <w:sz w:val="22"/>
          <w:szCs w:val="22"/>
        </w:rPr>
        <w:t>trastuzumab deruxtecan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. The response was assessed by cell counting. HER2 status was analyzed using western blotting and immunofluorescence labeling, while gene mutation patterns were examined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by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next-generation sequencing. The </w:t>
      </w:r>
      <w:r w:rsidR="00F75906">
        <w:rPr>
          <w:rFonts w:ascii="Tahoma" w:hAnsi="Tahoma" w:cs="Tahoma" w:hint="eastAsia"/>
          <w:color w:val="231F20"/>
          <w:kern w:val="0"/>
          <w:sz w:val="22"/>
          <w:szCs w:val="22"/>
        </w:rPr>
        <w:t>efficacy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of two PI3K inhibitors, alpelisib and inavolisib, and one AKT inhibitor, capivasertib, was tested in ADCs-resistant cells.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C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ompounds were employed either as monotherapy or in combination.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T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heir effectiveness was </w:t>
      </w:r>
      <w:r>
        <w:rPr>
          <w:rFonts w:ascii="Tahoma" w:eastAsia="Univers" w:hAnsi="Tahoma" w:cs="Tahoma"/>
          <w:color w:val="231F20"/>
          <w:kern w:val="0"/>
          <w:sz w:val="22"/>
          <w:szCs w:val="22"/>
        </w:rPr>
        <w:t>evaluated by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antiproliferative assays. A mouse model with an ADC-resistant breast cancer cell line has been established</w:t>
      </w:r>
      <w:r w:rsidR="00F75906">
        <w:rPr>
          <w:rFonts w:ascii="Tahoma" w:hAnsi="Tahoma" w:cs="Tahoma" w:hint="eastAsia"/>
          <w:color w:val="231F20"/>
          <w:kern w:val="0"/>
          <w:sz w:val="22"/>
          <w:szCs w:val="22"/>
        </w:rPr>
        <w:t>, in which</w:t>
      </w:r>
      <w:r w:rsidR="00814E97" w:rsidRPr="00814E9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we assessed anti-xenograft effects of alpelisib or capivasertib.</w:t>
      </w:r>
    </w:p>
    <w:p w14:paraId="734328A9" w14:textId="77777777" w:rsidR="00814E97" w:rsidRPr="007E6E90" w:rsidRDefault="00814E97" w:rsidP="00981F03">
      <w:pPr>
        <w:autoSpaceDE w:val="0"/>
        <w:autoSpaceDN w:val="0"/>
        <w:adjustRightInd w:val="0"/>
        <w:spacing w:after="0" w:line="360" w:lineRule="exact"/>
        <w:jc w:val="both"/>
        <w:rPr>
          <w:rFonts w:ascii="Tahoma" w:hAnsi="Tahoma" w:cs="Tahoma"/>
          <w:color w:val="231F20"/>
          <w:kern w:val="0"/>
          <w:sz w:val="28"/>
          <w:szCs w:val="28"/>
        </w:rPr>
      </w:pPr>
    </w:p>
    <w:p w14:paraId="2A909F05" w14:textId="77777777" w:rsidR="00CA0B26" w:rsidRPr="00C44E7C" w:rsidRDefault="00CA0B26" w:rsidP="00CA0B26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Results</w:t>
      </w:r>
    </w:p>
    <w:p w14:paraId="4138DEB1" w14:textId="00A9D6F4" w:rsidR="00CA0B26" w:rsidRPr="007837B7" w:rsidRDefault="007837B7" w:rsidP="00CA0B26">
      <w:pPr>
        <w:autoSpaceDE w:val="0"/>
        <w:autoSpaceDN w:val="0"/>
        <w:adjustRightInd w:val="0"/>
        <w:spacing w:line="360" w:lineRule="exact"/>
        <w:jc w:val="both"/>
        <w:rPr>
          <w:rFonts w:ascii="Tahoma" w:eastAsia="Univers" w:hAnsi="Tahoma" w:cs="Tahoma"/>
          <w:color w:val="231F20"/>
          <w:kern w:val="0"/>
          <w:sz w:val="22"/>
          <w:szCs w:val="22"/>
        </w:rPr>
      </w:pPr>
      <w:r w:rsidRPr="007837B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All five ADCs-resistant cell lines showed HER2 downregulation. After ADC treatments, </w:t>
      </w:r>
      <w:r w:rsidRPr="00A67E1D">
        <w:rPr>
          <w:rFonts w:ascii="Tahoma" w:eastAsia="Univers" w:hAnsi="Tahoma" w:cs="Tahoma"/>
          <w:i/>
          <w:iCs/>
          <w:color w:val="231F20"/>
          <w:kern w:val="0"/>
          <w:sz w:val="22"/>
          <w:szCs w:val="22"/>
        </w:rPr>
        <w:t>PIK3CA</w:t>
      </w:r>
      <w:r w:rsidRPr="007837B7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mutations remained. In these cells and their parental HCC1954 cells, PI3K and/or AKT inhibitors demonstrated efficacy. The combination of PI3K and AKT inhibitors contributed to a prominent down-regulation of phospho-S6. Alpelisib or capivasertib showed anti-xenograft effects in the mouse model.</w:t>
      </w:r>
    </w:p>
    <w:p w14:paraId="3DC40CBC" w14:textId="77777777" w:rsidR="00CA0B26" w:rsidRPr="00C44E7C" w:rsidRDefault="00CA0B26" w:rsidP="00CA0B26">
      <w:pPr>
        <w:autoSpaceDE w:val="0"/>
        <w:autoSpaceDN w:val="0"/>
        <w:adjustRightInd w:val="0"/>
        <w:spacing w:line="360" w:lineRule="exact"/>
        <w:jc w:val="both"/>
        <w:rPr>
          <w:rFonts w:ascii="Tahoma" w:eastAsia="細明體" w:hAnsi="Tahoma" w:cs="Tahoma"/>
          <w:b/>
          <w:bCs/>
          <w:kern w:val="0"/>
          <w:sz w:val="22"/>
          <w:szCs w:val="22"/>
        </w:rPr>
      </w:pPr>
      <w:r w:rsidRPr="00C44E7C">
        <w:rPr>
          <w:rFonts w:ascii="Tahoma" w:eastAsia="細明體" w:hAnsi="Tahoma" w:cs="Tahoma"/>
          <w:b/>
          <w:bCs/>
          <w:kern w:val="0"/>
          <w:sz w:val="22"/>
          <w:szCs w:val="22"/>
        </w:rPr>
        <w:t>Conclusion</w:t>
      </w:r>
    </w:p>
    <w:p w14:paraId="7CCEFC27" w14:textId="1CD1AFDA" w:rsidR="00CA0B26" w:rsidRPr="00CA0B26" w:rsidRDefault="00F628CA" w:rsidP="00F628CA">
      <w:pPr>
        <w:autoSpaceDE w:val="0"/>
        <w:autoSpaceDN w:val="0"/>
        <w:adjustRightInd w:val="0"/>
        <w:spacing w:line="360" w:lineRule="exact"/>
        <w:jc w:val="both"/>
        <w:rPr>
          <w:sz w:val="20"/>
          <w:szCs w:val="20"/>
        </w:rPr>
      </w:pPr>
      <w:r w:rsidRPr="00F628CA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For HER2-positive ADCs-resistant breast cancer cell lines with </w:t>
      </w:r>
      <w:r w:rsidRPr="00EC26B2">
        <w:rPr>
          <w:rFonts w:ascii="Tahoma" w:eastAsia="Univers" w:hAnsi="Tahoma" w:cs="Tahoma"/>
          <w:i/>
          <w:iCs/>
          <w:color w:val="231F20"/>
          <w:kern w:val="0"/>
          <w:sz w:val="22"/>
          <w:szCs w:val="22"/>
        </w:rPr>
        <w:t>PIK3CA</w:t>
      </w:r>
      <w:r w:rsidRPr="00F628CA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 mutations and HER2-downregulation, a combination of PI3K and AKT inhibitors provides an effective approach. </w:t>
      </w:r>
      <w:r w:rsidR="00001369">
        <w:rPr>
          <w:rFonts w:ascii="Tahoma" w:hAnsi="Tahoma" w:cs="Tahoma" w:hint="eastAsia"/>
          <w:color w:val="231F20"/>
          <w:kern w:val="0"/>
          <w:sz w:val="22"/>
          <w:szCs w:val="22"/>
        </w:rPr>
        <w:t>Either a</w:t>
      </w:r>
      <w:r w:rsidRPr="00F628CA">
        <w:rPr>
          <w:rFonts w:ascii="Tahoma" w:eastAsia="Univers" w:hAnsi="Tahoma" w:cs="Tahoma"/>
          <w:color w:val="231F20"/>
          <w:kern w:val="0"/>
          <w:sz w:val="22"/>
          <w:szCs w:val="22"/>
        </w:rPr>
        <w:t xml:space="preserve">lpelisib or capivasertib can hinder the growth of xenografts. The combination strategy will be imminently evaluated </w:t>
      </w:r>
      <w:r w:rsidRPr="00F628CA">
        <w:rPr>
          <w:rFonts w:ascii="Tahoma" w:eastAsia="Univers" w:hAnsi="Tahoma" w:cs="Tahoma"/>
          <w:i/>
          <w:iCs/>
          <w:color w:val="231F20"/>
          <w:kern w:val="0"/>
          <w:sz w:val="22"/>
          <w:szCs w:val="22"/>
        </w:rPr>
        <w:t>in vivo</w:t>
      </w:r>
      <w:r w:rsidRPr="00F628CA">
        <w:rPr>
          <w:rFonts w:ascii="Tahoma" w:eastAsia="Univers" w:hAnsi="Tahoma" w:cs="Tahoma"/>
          <w:color w:val="231F20"/>
          <w:kern w:val="0"/>
          <w:sz w:val="22"/>
          <w:szCs w:val="22"/>
        </w:rPr>
        <w:t>.</w:t>
      </w:r>
    </w:p>
    <w:sectPr w:rsidR="00CA0B26" w:rsidRPr="00CA0B26" w:rsidSect="0091546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1F"/>
    <w:rsid w:val="00001369"/>
    <w:rsid w:val="00075024"/>
    <w:rsid w:val="004E341E"/>
    <w:rsid w:val="00590B10"/>
    <w:rsid w:val="00661A1E"/>
    <w:rsid w:val="006777CF"/>
    <w:rsid w:val="0070273F"/>
    <w:rsid w:val="007837B7"/>
    <w:rsid w:val="00814E97"/>
    <w:rsid w:val="0087567F"/>
    <w:rsid w:val="0091546E"/>
    <w:rsid w:val="00972CC2"/>
    <w:rsid w:val="0098199C"/>
    <w:rsid w:val="00981F03"/>
    <w:rsid w:val="009A3E87"/>
    <w:rsid w:val="009C7DC3"/>
    <w:rsid w:val="00A01DC2"/>
    <w:rsid w:val="00A4781F"/>
    <w:rsid w:val="00A67E1D"/>
    <w:rsid w:val="00AE77C4"/>
    <w:rsid w:val="00B44A46"/>
    <w:rsid w:val="00BA1FA0"/>
    <w:rsid w:val="00CA0B26"/>
    <w:rsid w:val="00EC26B2"/>
    <w:rsid w:val="00ED7041"/>
    <w:rsid w:val="00F11B2B"/>
    <w:rsid w:val="00F544A7"/>
    <w:rsid w:val="00F628CA"/>
    <w:rsid w:val="00F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8472"/>
  <w15:chartTrackingRefBased/>
  <w15:docId w15:val="{ACF29D1D-8D00-47F5-AC68-3C6B76A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1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1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1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1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1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1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8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47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4781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47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4781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4781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4781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4781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478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7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4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47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47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478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781F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B44A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44A4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67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Wei-Pang Chung</dc:creator>
  <cp:keywords/>
  <dc:description/>
  <cp:lastModifiedBy>Wei-Pang Chung</cp:lastModifiedBy>
  <cp:revision>3</cp:revision>
  <dcterms:created xsi:type="dcterms:W3CDTF">2024-07-29T03:12:00Z</dcterms:created>
  <dcterms:modified xsi:type="dcterms:W3CDTF">2024-07-29T03:12:00Z</dcterms:modified>
</cp:coreProperties>
</file>