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6145A" w14:textId="77777777" w:rsidR="00DD7B36" w:rsidRDefault="00C44E7C" w:rsidP="00DD7B36">
      <w:pPr>
        <w:snapToGrid w:val="0"/>
        <w:spacing w:line="360" w:lineRule="exact"/>
        <w:jc w:val="both"/>
        <w:rPr>
          <w:rFonts w:ascii="Tahoma" w:eastAsia="華康細圓體" w:hAnsi="Tahoma" w:cs="Tahoma"/>
          <w:b/>
          <w:sz w:val="28"/>
          <w:szCs w:val="28"/>
          <w:bdr w:val="single" w:sz="4" w:space="0" w:color="auto"/>
        </w:rPr>
      </w:pPr>
      <w:r>
        <w:rPr>
          <w:rFonts w:ascii="Tahoma" w:eastAsia="華康細圓體" w:hAnsi="Tahoma" w:cs="Tahoma" w:hint="eastAsia"/>
          <w:b/>
          <w:sz w:val="28"/>
          <w:szCs w:val="28"/>
          <w:bdr w:val="single" w:sz="4" w:space="0" w:color="auto"/>
        </w:rPr>
        <w:t>Ab</w:t>
      </w:r>
      <w:r>
        <w:rPr>
          <w:rFonts w:ascii="Tahoma" w:eastAsia="華康細圓體" w:hAnsi="Tahoma" w:cs="Tahoma"/>
          <w:b/>
          <w:sz w:val="28"/>
          <w:szCs w:val="28"/>
          <w:bdr w:val="single" w:sz="4" w:space="0" w:color="auto"/>
        </w:rPr>
        <w:t xml:space="preserve">stract </w:t>
      </w:r>
      <w:r>
        <w:rPr>
          <w:rFonts w:ascii="Tahoma" w:eastAsia="華康細圓體" w:hAnsi="Tahoma" w:cs="Tahoma" w:hint="eastAsia"/>
          <w:b/>
          <w:sz w:val="28"/>
          <w:szCs w:val="28"/>
          <w:bdr w:val="single" w:sz="4" w:space="0" w:color="auto"/>
        </w:rPr>
        <w:t>f</w:t>
      </w:r>
      <w:r>
        <w:rPr>
          <w:rFonts w:ascii="Tahoma" w:eastAsia="華康細圓體" w:hAnsi="Tahoma" w:cs="Tahoma"/>
          <w:b/>
          <w:sz w:val="28"/>
          <w:szCs w:val="28"/>
          <w:bdr w:val="single" w:sz="4" w:space="0" w:color="auto"/>
        </w:rPr>
        <w:t>orm</w:t>
      </w:r>
    </w:p>
    <w:p w14:paraId="5F41D806" w14:textId="016433EA" w:rsidR="00A55E9C" w:rsidRPr="00DD7B36" w:rsidRDefault="002B6812" w:rsidP="00DD7B36">
      <w:pPr>
        <w:snapToGrid w:val="0"/>
        <w:spacing w:line="360" w:lineRule="exact"/>
        <w:jc w:val="both"/>
        <w:rPr>
          <w:rFonts w:ascii="Tahoma" w:eastAsia="華康細圓體" w:hAnsi="Tahoma" w:cs="Tahoma"/>
          <w:b/>
          <w:sz w:val="28"/>
          <w:szCs w:val="28"/>
        </w:rPr>
      </w:pPr>
      <w:r>
        <w:rPr>
          <w:rFonts w:ascii="Tahoma" w:eastAsia="華康細圓體" w:hAnsi="Tahoma" w:cs="Tahoma" w:hint="eastAsia"/>
          <w:sz w:val="28"/>
          <w:szCs w:val="28"/>
        </w:rPr>
        <w:t>Multi-omics and</w:t>
      </w:r>
      <w:r w:rsidR="003077C7">
        <w:rPr>
          <w:rFonts w:ascii="Tahoma" w:eastAsia="華康細圓體" w:hAnsi="Tahoma" w:cs="Tahoma"/>
          <w:sz w:val="28"/>
          <w:szCs w:val="28"/>
        </w:rPr>
        <w:t xml:space="preserve"> spatial transcriptomics unveil the role</w:t>
      </w:r>
      <w:r w:rsidR="003077C7" w:rsidRPr="005D5608">
        <w:rPr>
          <w:rFonts w:ascii="Tahoma" w:eastAsia="華康細圓體" w:hAnsi="Tahoma" w:cs="Tahoma"/>
          <w:sz w:val="28"/>
          <w:szCs w:val="28"/>
        </w:rPr>
        <w:t xml:space="preserve"> of ferroptosis suppressor </w:t>
      </w:r>
      <w:r w:rsidR="003077C7">
        <w:rPr>
          <w:rFonts w:ascii="Tahoma" w:eastAsia="華康細圓體" w:hAnsi="Tahoma" w:cs="Tahoma" w:hint="eastAsia"/>
          <w:sz w:val="28"/>
          <w:szCs w:val="28"/>
        </w:rPr>
        <w:t>FANCD2</w:t>
      </w:r>
      <w:r w:rsidR="003077C7" w:rsidRPr="005D5608">
        <w:rPr>
          <w:rFonts w:ascii="Tahoma" w:eastAsia="華康細圓體" w:hAnsi="Tahoma" w:cs="Tahoma"/>
          <w:sz w:val="28"/>
          <w:szCs w:val="28"/>
        </w:rPr>
        <w:t xml:space="preserve"> </w:t>
      </w:r>
      <w:r w:rsidR="003077C7">
        <w:rPr>
          <w:rFonts w:ascii="Tahoma" w:eastAsia="華康細圓體" w:hAnsi="Tahoma" w:cs="Tahoma"/>
          <w:sz w:val="28"/>
          <w:szCs w:val="28"/>
        </w:rPr>
        <w:t>in</w:t>
      </w:r>
      <w:r w:rsidR="003077C7" w:rsidRPr="005D5608">
        <w:rPr>
          <w:rFonts w:ascii="Tahoma" w:eastAsia="華康細圓體" w:hAnsi="Tahoma" w:cs="Tahoma"/>
          <w:sz w:val="28"/>
          <w:szCs w:val="28"/>
        </w:rPr>
        <w:t xml:space="preserve"> clinicopathology and </w:t>
      </w:r>
      <w:r w:rsidR="003077C7">
        <w:rPr>
          <w:rFonts w:ascii="Tahoma" w:eastAsia="華康細圓體" w:hAnsi="Tahoma" w:cs="Tahoma"/>
          <w:sz w:val="28"/>
          <w:szCs w:val="28"/>
        </w:rPr>
        <w:t xml:space="preserve">predicting </w:t>
      </w:r>
      <w:r w:rsidR="003077C7" w:rsidRPr="005D5608">
        <w:rPr>
          <w:rFonts w:ascii="Tahoma" w:eastAsia="華康細圓體" w:hAnsi="Tahoma" w:cs="Tahoma"/>
          <w:sz w:val="28"/>
          <w:szCs w:val="28"/>
        </w:rPr>
        <w:t>immunotherapy</w:t>
      </w:r>
      <w:r w:rsidR="003077C7">
        <w:rPr>
          <w:rFonts w:ascii="Tahoma" w:eastAsia="華康細圓體" w:hAnsi="Tahoma" w:cs="Tahoma"/>
          <w:sz w:val="28"/>
          <w:szCs w:val="28"/>
        </w:rPr>
        <w:t xml:space="preserve"> response</w:t>
      </w:r>
      <w:r w:rsidR="003077C7" w:rsidRPr="005D5608">
        <w:rPr>
          <w:rFonts w:ascii="Tahoma" w:eastAsia="華康細圓體" w:hAnsi="Tahoma" w:cs="Tahoma"/>
          <w:sz w:val="28"/>
          <w:szCs w:val="28"/>
        </w:rPr>
        <w:t xml:space="preserve"> in breast </w:t>
      </w:r>
      <w:r w:rsidR="003077C7">
        <w:rPr>
          <w:rFonts w:ascii="Tahoma" w:eastAsia="華康細圓體" w:hAnsi="Tahoma" w:cs="Tahoma" w:hint="eastAsia"/>
          <w:sz w:val="28"/>
          <w:szCs w:val="28"/>
        </w:rPr>
        <w:t>c</w:t>
      </w:r>
      <w:r w:rsidR="005D5608" w:rsidRPr="005D5608">
        <w:rPr>
          <w:rFonts w:ascii="Tahoma" w:eastAsia="華康細圓體" w:hAnsi="Tahoma" w:cs="Tahoma"/>
          <w:sz w:val="28"/>
          <w:szCs w:val="28"/>
        </w:rPr>
        <w:t>ancer</w:t>
      </w:r>
    </w:p>
    <w:p w14:paraId="7C094DF8" w14:textId="524BA324" w:rsidR="00A55E9C" w:rsidRPr="00C44E7C" w:rsidRDefault="008A32EC" w:rsidP="00237AE9">
      <w:pPr>
        <w:pStyle w:val="a4"/>
        <w:spacing w:line="360" w:lineRule="exact"/>
        <w:rPr>
          <w:rFonts w:ascii="Tahoma" w:hAnsi="Tahoma" w:cs="Tahoma"/>
          <w:sz w:val="22"/>
          <w:szCs w:val="22"/>
        </w:rPr>
      </w:pPr>
      <w:r w:rsidRPr="00237AE9">
        <w:rPr>
          <w:rFonts w:ascii="Tahoma" w:hAnsi="Tahoma" w:cs="Tahoma"/>
          <w:sz w:val="22"/>
          <w:szCs w:val="22"/>
        </w:rPr>
        <w:t>Shin-Mae Wang</w:t>
      </w:r>
      <w:r w:rsidRPr="00C44E7C">
        <w:rPr>
          <w:rFonts w:ascii="Tahoma" w:hAnsi="Tahoma" w:cs="Tahoma"/>
          <w:sz w:val="22"/>
          <w:szCs w:val="22"/>
        </w:rPr>
        <w:t xml:space="preserve">, </w:t>
      </w:r>
      <w:r>
        <w:rPr>
          <w:rFonts w:ascii="Tahoma" w:hAnsi="Tahoma" w:cs="Tahoma" w:hint="eastAsia"/>
          <w:sz w:val="22"/>
          <w:szCs w:val="22"/>
        </w:rPr>
        <w:t>M</w:t>
      </w:r>
      <w:r w:rsidRPr="00C44E7C">
        <w:rPr>
          <w:rFonts w:ascii="Tahoma" w:hAnsi="Tahoma" w:cs="Tahoma"/>
          <w:sz w:val="22"/>
          <w:szCs w:val="22"/>
        </w:rPr>
        <w:t>.D.</w:t>
      </w:r>
      <w:r w:rsidRPr="00C44E7C">
        <w:rPr>
          <w:rFonts w:ascii="Tahoma" w:hAnsi="Tahoma" w:cs="Tahoma"/>
          <w:sz w:val="22"/>
          <w:szCs w:val="22"/>
          <w:vertAlign w:val="superscript"/>
        </w:rPr>
        <w:t xml:space="preserve"> </w:t>
      </w:r>
      <w:r>
        <w:rPr>
          <w:rFonts w:ascii="Tahoma" w:hAnsi="Tahoma" w:cs="Tahoma" w:hint="eastAsia"/>
          <w:sz w:val="22"/>
          <w:szCs w:val="22"/>
          <w:vertAlign w:val="superscript"/>
        </w:rPr>
        <w:t>1</w:t>
      </w:r>
      <w:r w:rsidRPr="00C44E7C">
        <w:rPr>
          <w:rFonts w:ascii="Tahoma" w:hAnsi="Tahoma" w:cs="Tahoma"/>
          <w:sz w:val="22"/>
          <w:szCs w:val="22"/>
          <w:vertAlign w:val="superscript"/>
        </w:rPr>
        <w:t xml:space="preserve"> </w:t>
      </w:r>
      <w:r w:rsidR="00237AE9" w:rsidRPr="008A32EC">
        <w:rPr>
          <w:rFonts w:ascii="Tahoma" w:hAnsi="Tahoma" w:cs="Tahoma"/>
          <w:sz w:val="22"/>
          <w:szCs w:val="22"/>
        </w:rPr>
        <w:t>Hung-Yu Lin</w:t>
      </w:r>
      <w:r w:rsidR="00A55E9C" w:rsidRPr="00C44E7C">
        <w:rPr>
          <w:rFonts w:ascii="Tahoma" w:hAnsi="Tahoma" w:cs="Tahoma"/>
          <w:sz w:val="22"/>
          <w:szCs w:val="22"/>
        </w:rPr>
        <w:t xml:space="preserve">, </w:t>
      </w:r>
      <w:r w:rsidR="00237AE9">
        <w:rPr>
          <w:rFonts w:ascii="Tahoma" w:hAnsi="Tahoma" w:cs="Tahoma" w:hint="eastAsia"/>
          <w:sz w:val="22"/>
          <w:szCs w:val="22"/>
        </w:rPr>
        <w:t>Ph.D.</w:t>
      </w:r>
      <w:r w:rsidR="00A55E9C" w:rsidRPr="00C44E7C">
        <w:rPr>
          <w:rFonts w:ascii="Tahoma" w:hAnsi="Tahoma" w:cs="Tahoma"/>
          <w:sz w:val="22"/>
          <w:szCs w:val="22"/>
          <w:vertAlign w:val="superscript"/>
        </w:rPr>
        <w:t xml:space="preserve"> </w:t>
      </w:r>
      <w:r>
        <w:rPr>
          <w:rFonts w:ascii="Tahoma" w:hAnsi="Tahoma" w:cs="Tahoma" w:hint="eastAsia"/>
          <w:sz w:val="22"/>
          <w:szCs w:val="22"/>
          <w:vertAlign w:val="superscript"/>
        </w:rPr>
        <w:t>2</w:t>
      </w:r>
      <w:r w:rsidR="00A55E9C" w:rsidRPr="00C44E7C">
        <w:rPr>
          <w:rFonts w:ascii="Tahoma" w:hAnsi="Tahoma" w:cs="Tahoma"/>
          <w:sz w:val="22"/>
          <w:szCs w:val="22"/>
          <w:vertAlign w:val="superscript"/>
        </w:rPr>
        <w:t xml:space="preserve"> </w:t>
      </w:r>
    </w:p>
    <w:p w14:paraId="2498E6FB" w14:textId="0811B9B6" w:rsidR="00A55E9C" w:rsidRDefault="00C06CFF" w:rsidP="00237AE9">
      <w:pPr>
        <w:spacing w:line="360" w:lineRule="exact"/>
        <w:rPr>
          <w:rFonts w:ascii="Tahoma" w:eastAsia="標楷體" w:hAnsi="Tahoma" w:cs="Tahoma"/>
          <w:sz w:val="22"/>
          <w:szCs w:val="22"/>
        </w:rPr>
      </w:pPr>
      <w:r>
        <w:rPr>
          <w:rFonts w:ascii="Tahoma" w:eastAsia="標楷體" w:hAnsi="Tahoma" w:cs="Tahoma" w:hint="eastAsia"/>
          <w:sz w:val="22"/>
          <w:szCs w:val="22"/>
          <w:vertAlign w:val="superscript"/>
        </w:rPr>
        <w:t>1</w:t>
      </w:r>
      <w:r w:rsidR="00237AE9" w:rsidRPr="00237AE9">
        <w:rPr>
          <w:rFonts w:ascii="Tahoma" w:eastAsia="標楷體" w:hAnsi="Tahoma" w:cs="Tahoma"/>
          <w:sz w:val="22"/>
          <w:szCs w:val="22"/>
        </w:rPr>
        <w:t xml:space="preserve"> Department of Surgery, Show Chwan Memorial Hospital, Changhua 500, Taiwan </w:t>
      </w:r>
    </w:p>
    <w:p w14:paraId="63D5AAC7" w14:textId="383D2EAE" w:rsidR="00C06CFF" w:rsidRDefault="00C06CFF" w:rsidP="00237AE9">
      <w:pPr>
        <w:spacing w:line="360" w:lineRule="exact"/>
        <w:rPr>
          <w:rFonts w:ascii="Tahoma" w:eastAsia="標楷體" w:hAnsi="Tahoma" w:cs="Tahoma"/>
          <w:sz w:val="22"/>
          <w:szCs w:val="22"/>
        </w:rPr>
      </w:pPr>
      <w:r>
        <w:rPr>
          <w:rFonts w:ascii="Tahoma" w:eastAsia="標楷體" w:hAnsi="Tahoma" w:cs="Tahoma" w:hint="eastAsia"/>
          <w:sz w:val="22"/>
          <w:szCs w:val="22"/>
          <w:vertAlign w:val="superscript"/>
        </w:rPr>
        <w:t>2</w:t>
      </w:r>
      <w:r w:rsidRPr="00237AE9">
        <w:rPr>
          <w:rFonts w:ascii="Tahoma" w:eastAsia="標楷體" w:hAnsi="Tahoma" w:cs="Tahoma"/>
          <w:sz w:val="22"/>
          <w:szCs w:val="22"/>
        </w:rPr>
        <w:t xml:space="preserve"> Research Assistant Center, Show Chwan Memorial Hospital, Changhua 500, Taiwan</w:t>
      </w:r>
    </w:p>
    <w:p w14:paraId="7F5C03FB" w14:textId="77777777" w:rsidR="00C06CFF" w:rsidRPr="007E6E90" w:rsidRDefault="00C06CFF" w:rsidP="00237AE9">
      <w:pPr>
        <w:spacing w:line="360" w:lineRule="exact"/>
        <w:rPr>
          <w:rFonts w:ascii="Tahoma" w:eastAsia="標楷體" w:hAnsi="Tahoma" w:cs="Tahoma"/>
          <w:sz w:val="28"/>
          <w:szCs w:val="28"/>
        </w:rPr>
      </w:pPr>
    </w:p>
    <w:p w14:paraId="18E1F6CA" w14:textId="77777777" w:rsidR="00A55E9C" w:rsidRPr="00C44E7C" w:rsidRDefault="00A55E9C" w:rsidP="00C44E7C">
      <w:pPr>
        <w:spacing w:line="360" w:lineRule="exact"/>
        <w:jc w:val="both"/>
        <w:rPr>
          <w:rFonts w:ascii="Tahoma" w:eastAsia="細明體" w:hAnsi="Tahoma" w:cs="Tahoma"/>
          <w:b/>
          <w:bCs/>
          <w:kern w:val="0"/>
          <w:sz w:val="22"/>
          <w:szCs w:val="22"/>
        </w:rPr>
      </w:pPr>
      <w:r w:rsidRPr="00C44E7C">
        <w:rPr>
          <w:rFonts w:ascii="Tahoma" w:eastAsia="細明體" w:hAnsi="Tahoma" w:cs="Tahoma"/>
          <w:b/>
          <w:bCs/>
          <w:kern w:val="0"/>
          <w:sz w:val="22"/>
          <w:szCs w:val="22"/>
        </w:rPr>
        <w:t>Purpose</w:t>
      </w:r>
    </w:p>
    <w:p w14:paraId="4237555C" w14:textId="1B4EBC83" w:rsidR="00A55E9C" w:rsidRPr="00862B94" w:rsidRDefault="009D4447" w:rsidP="00237AE9">
      <w:pPr>
        <w:autoSpaceDE w:val="0"/>
        <w:autoSpaceDN w:val="0"/>
        <w:adjustRightInd w:val="0"/>
        <w:spacing w:line="360" w:lineRule="exact"/>
        <w:jc w:val="both"/>
        <w:rPr>
          <w:rFonts w:ascii="Tahoma" w:eastAsiaTheme="minorEastAsia" w:hAnsi="Tahoma" w:cs="Tahoma"/>
          <w:color w:val="231F20"/>
          <w:kern w:val="0"/>
          <w:sz w:val="22"/>
          <w:szCs w:val="22"/>
        </w:rPr>
      </w:pPr>
      <w:r w:rsidRPr="009D4447">
        <w:rPr>
          <w:rFonts w:ascii="Tahoma" w:eastAsia="Univers" w:hAnsi="Tahoma" w:cs="Tahoma"/>
          <w:color w:val="231F20"/>
          <w:kern w:val="0"/>
          <w:sz w:val="22"/>
          <w:szCs w:val="22"/>
        </w:rPr>
        <w:t>Ferroptosis, a form of regulated cell death, is associated with cancer progression. This study investigates the role of ferroptosis regulatory factors in breast cancer (BC) clinicopathology and immunotherapy response, focusing on FANCD2</w:t>
      </w:r>
      <w:r w:rsidR="00787E2F">
        <w:rPr>
          <w:rFonts w:ascii="Tahoma" w:eastAsiaTheme="minorEastAsia" w:hAnsi="Tahoma" w:cs="Tahoma" w:hint="eastAsia"/>
          <w:color w:val="231F20"/>
          <w:kern w:val="0"/>
          <w:sz w:val="22"/>
          <w:szCs w:val="22"/>
        </w:rPr>
        <w:t>.</w:t>
      </w:r>
      <w:r w:rsidR="00862B94">
        <w:rPr>
          <w:rFonts w:ascii="Tahoma" w:eastAsiaTheme="minorEastAsia" w:hAnsi="Tahoma" w:cs="Tahoma" w:hint="eastAsia"/>
          <w:color w:val="231F20"/>
          <w:kern w:val="0"/>
          <w:sz w:val="22"/>
          <w:szCs w:val="22"/>
        </w:rPr>
        <w:t xml:space="preserve"> </w:t>
      </w:r>
    </w:p>
    <w:p w14:paraId="293FFA7D" w14:textId="77777777" w:rsidR="00A55E9C" w:rsidRPr="00C44E7C" w:rsidRDefault="00A55E9C" w:rsidP="00C44E7C">
      <w:pPr>
        <w:autoSpaceDE w:val="0"/>
        <w:autoSpaceDN w:val="0"/>
        <w:adjustRightInd w:val="0"/>
        <w:spacing w:line="360" w:lineRule="exact"/>
        <w:jc w:val="both"/>
        <w:rPr>
          <w:rFonts w:ascii="Tahoma" w:eastAsia="細明體" w:hAnsi="Tahoma" w:cs="Tahoma"/>
          <w:b/>
          <w:bCs/>
          <w:kern w:val="0"/>
          <w:sz w:val="22"/>
          <w:szCs w:val="22"/>
        </w:rPr>
      </w:pPr>
      <w:r w:rsidRPr="00C44E7C">
        <w:rPr>
          <w:rFonts w:ascii="Tahoma" w:eastAsia="細明體" w:hAnsi="Tahoma" w:cs="Tahoma"/>
          <w:b/>
          <w:bCs/>
          <w:kern w:val="0"/>
          <w:sz w:val="22"/>
          <w:szCs w:val="22"/>
        </w:rPr>
        <w:t>Materials and Methods</w:t>
      </w:r>
    </w:p>
    <w:p w14:paraId="2A7C249D" w14:textId="443CF0C1" w:rsidR="00410CE8" w:rsidRPr="00E62373" w:rsidRDefault="009D4447" w:rsidP="000A4D33">
      <w:pPr>
        <w:autoSpaceDE w:val="0"/>
        <w:autoSpaceDN w:val="0"/>
        <w:adjustRightInd w:val="0"/>
        <w:spacing w:line="360" w:lineRule="exact"/>
        <w:jc w:val="both"/>
        <w:rPr>
          <w:rFonts w:ascii="Tahoma" w:eastAsiaTheme="minorEastAsia" w:hAnsi="Tahoma" w:cs="Tahoma"/>
          <w:color w:val="231F20"/>
          <w:kern w:val="0"/>
          <w:sz w:val="22"/>
          <w:szCs w:val="22"/>
        </w:rPr>
      </w:pPr>
      <w:r w:rsidRPr="009D4447">
        <w:rPr>
          <w:rFonts w:ascii="Tahoma" w:eastAsiaTheme="minorEastAsia" w:hAnsi="Tahoma" w:cs="Tahoma"/>
          <w:color w:val="231F20"/>
          <w:kern w:val="0"/>
          <w:sz w:val="22"/>
          <w:szCs w:val="22"/>
        </w:rPr>
        <w:t>We analyzed TCGA data (N=1,083) for differential gene expression, diagnostic accuracy, and prognostic value. Protein levels were assessed using Human Protein Atlas IHC data. Gene Set Enrichment Analysis and DepMap CRISPR screens were employed to explore molecular functions. Immune checkpoint correlations were visualized across cancers, and spatial transcriptomics mapped FANCD2 expression in patient specimens.</w:t>
      </w:r>
    </w:p>
    <w:p w14:paraId="67651982" w14:textId="77777777" w:rsidR="00A55E9C" w:rsidRPr="00C44E7C" w:rsidRDefault="00A55E9C" w:rsidP="00C44E7C">
      <w:pPr>
        <w:autoSpaceDE w:val="0"/>
        <w:autoSpaceDN w:val="0"/>
        <w:adjustRightInd w:val="0"/>
        <w:spacing w:line="360" w:lineRule="exact"/>
        <w:jc w:val="both"/>
        <w:rPr>
          <w:rFonts w:ascii="Tahoma" w:eastAsia="細明體" w:hAnsi="Tahoma" w:cs="Tahoma"/>
          <w:b/>
          <w:bCs/>
          <w:kern w:val="0"/>
          <w:sz w:val="22"/>
          <w:szCs w:val="22"/>
        </w:rPr>
      </w:pPr>
      <w:r w:rsidRPr="00C44E7C">
        <w:rPr>
          <w:rFonts w:ascii="Tahoma" w:eastAsia="細明體" w:hAnsi="Tahoma" w:cs="Tahoma"/>
          <w:b/>
          <w:bCs/>
          <w:kern w:val="0"/>
          <w:sz w:val="22"/>
          <w:szCs w:val="22"/>
        </w:rPr>
        <w:t>Results</w:t>
      </w:r>
    </w:p>
    <w:p w14:paraId="5E19E5F2" w14:textId="27B39E60" w:rsidR="007C3057" w:rsidRPr="00232D32" w:rsidRDefault="009D4447" w:rsidP="00E62373">
      <w:pPr>
        <w:autoSpaceDE w:val="0"/>
        <w:autoSpaceDN w:val="0"/>
        <w:adjustRightInd w:val="0"/>
        <w:spacing w:line="360" w:lineRule="exact"/>
        <w:jc w:val="both"/>
        <w:rPr>
          <w:rFonts w:ascii="Tahoma" w:eastAsiaTheme="minorEastAsia" w:hAnsi="Tahoma" w:cs="Tahoma"/>
          <w:color w:val="231F20"/>
          <w:kern w:val="0"/>
          <w:sz w:val="28"/>
          <w:szCs w:val="28"/>
        </w:rPr>
      </w:pPr>
      <w:r>
        <w:rPr>
          <w:rFonts w:ascii="Tahoma" w:eastAsiaTheme="minorEastAsia" w:hAnsi="Tahoma" w:cs="Tahoma" w:hint="eastAsia"/>
          <w:color w:val="231F20"/>
          <w:kern w:val="0"/>
          <w:sz w:val="22"/>
          <w:szCs w:val="22"/>
        </w:rPr>
        <w:t>E</w:t>
      </w:r>
      <w:r w:rsidRPr="009D4447">
        <w:rPr>
          <w:rFonts w:ascii="Tahoma" w:eastAsiaTheme="minorEastAsia" w:hAnsi="Tahoma" w:cs="Tahoma"/>
          <w:color w:val="231F20"/>
          <w:kern w:val="0"/>
          <w:sz w:val="22"/>
          <w:szCs w:val="22"/>
        </w:rPr>
        <w:t xml:space="preserve">levated expression of several ferroptosis-related genes </w:t>
      </w:r>
      <w:r>
        <w:rPr>
          <w:rFonts w:ascii="Tahoma" w:eastAsiaTheme="minorEastAsia" w:hAnsi="Tahoma" w:cs="Tahoma" w:hint="eastAsia"/>
          <w:color w:val="231F20"/>
          <w:kern w:val="0"/>
          <w:sz w:val="22"/>
          <w:szCs w:val="22"/>
        </w:rPr>
        <w:t>(</w:t>
      </w:r>
      <w:r w:rsidRPr="009D4447">
        <w:rPr>
          <w:rFonts w:ascii="Tahoma" w:eastAsiaTheme="minorEastAsia" w:hAnsi="Tahoma" w:cs="Tahoma"/>
          <w:color w:val="231F20"/>
          <w:kern w:val="0"/>
          <w:sz w:val="22"/>
          <w:szCs w:val="22"/>
        </w:rPr>
        <w:t>CISD1, CISD2, VDAC1, VDAC2, VDAC3, FANCD2, and SLC7A11</w:t>
      </w:r>
      <w:r>
        <w:rPr>
          <w:rFonts w:ascii="Tahoma" w:eastAsiaTheme="minorEastAsia" w:hAnsi="Tahoma" w:cs="Tahoma" w:hint="eastAsia"/>
          <w:color w:val="231F20"/>
          <w:kern w:val="0"/>
          <w:sz w:val="22"/>
          <w:szCs w:val="22"/>
        </w:rPr>
        <w:t xml:space="preserve">) </w:t>
      </w:r>
      <w:r w:rsidRPr="009D4447">
        <w:rPr>
          <w:rFonts w:ascii="Tahoma" w:eastAsiaTheme="minorEastAsia" w:hAnsi="Tahoma" w:cs="Tahoma"/>
          <w:color w:val="231F20"/>
          <w:kern w:val="0"/>
          <w:sz w:val="22"/>
          <w:szCs w:val="22"/>
        </w:rPr>
        <w:t>in tumor tissue</w:t>
      </w:r>
      <w:r>
        <w:rPr>
          <w:rFonts w:ascii="Tahoma" w:eastAsiaTheme="minorEastAsia" w:hAnsi="Tahoma" w:cs="Tahoma" w:hint="eastAsia"/>
          <w:color w:val="231F20"/>
          <w:kern w:val="0"/>
          <w:sz w:val="22"/>
          <w:szCs w:val="22"/>
        </w:rPr>
        <w:t xml:space="preserve"> was noted</w:t>
      </w:r>
      <w:r w:rsidRPr="009D4447">
        <w:rPr>
          <w:rFonts w:ascii="Tahoma" w:eastAsiaTheme="minorEastAsia" w:hAnsi="Tahoma" w:cs="Tahoma"/>
          <w:color w:val="231F20"/>
          <w:kern w:val="0"/>
          <w:sz w:val="22"/>
          <w:szCs w:val="22"/>
        </w:rPr>
        <w:t>, with FANCD2 demonstrating the highest diagnostic accuracy (ROC-AUC: 0.872). High FANCD2 levels correlated with poor survival in BC patients but predicted better response to anti-PD-1 immunotherapy</w:t>
      </w:r>
      <w:r w:rsidRPr="009D4447">
        <w:t xml:space="preserve"> </w:t>
      </w:r>
      <w:r w:rsidRPr="009D4447">
        <w:rPr>
          <w:rFonts w:ascii="Tahoma" w:eastAsiaTheme="minorEastAsia" w:hAnsi="Tahoma" w:cs="Tahoma"/>
          <w:color w:val="231F20"/>
          <w:kern w:val="0"/>
          <w:sz w:val="22"/>
          <w:szCs w:val="22"/>
        </w:rPr>
        <w:t>(ROC-AUC value of 0.857). GSEA revealed FANCD2's involvement in cell cycle processes, while CRISPR-mediated knockout reduced cellular viability in 42</w:t>
      </w:r>
      <w:r>
        <w:rPr>
          <w:rFonts w:ascii="Tahoma" w:eastAsiaTheme="minorEastAsia" w:hAnsi="Tahoma" w:cs="Tahoma" w:hint="eastAsia"/>
          <w:color w:val="231F20"/>
          <w:kern w:val="0"/>
          <w:sz w:val="22"/>
          <w:szCs w:val="22"/>
        </w:rPr>
        <w:t xml:space="preserve"> out of </w:t>
      </w:r>
      <w:r w:rsidRPr="009D4447">
        <w:rPr>
          <w:rFonts w:ascii="Tahoma" w:eastAsiaTheme="minorEastAsia" w:hAnsi="Tahoma" w:cs="Tahoma"/>
          <w:color w:val="231F20"/>
          <w:kern w:val="0"/>
          <w:sz w:val="22"/>
          <w:szCs w:val="22"/>
        </w:rPr>
        <w:t>43 BC cell lines. TCGA analysis showed positive correlations between FANCD2 and cancer proliferation markers</w:t>
      </w:r>
      <w:r w:rsidR="00C00172">
        <w:rPr>
          <w:rFonts w:ascii="Tahoma" w:eastAsiaTheme="minorEastAsia" w:hAnsi="Tahoma" w:cs="Tahoma" w:hint="eastAsia"/>
          <w:color w:val="231F20"/>
          <w:kern w:val="0"/>
          <w:sz w:val="22"/>
          <w:szCs w:val="22"/>
        </w:rPr>
        <w:t xml:space="preserve"> (</w:t>
      </w:r>
      <w:r w:rsidR="00C00172" w:rsidRPr="00C00172">
        <w:rPr>
          <w:rFonts w:ascii="Tahoma" w:eastAsiaTheme="minorEastAsia" w:hAnsi="Tahoma" w:cs="Tahoma"/>
          <w:color w:val="231F20"/>
          <w:kern w:val="0"/>
          <w:sz w:val="22"/>
          <w:szCs w:val="22"/>
        </w:rPr>
        <w:t>MKI67, PCNA, MCM2, CMNN, CDK4, and CDK6</w:t>
      </w:r>
      <w:r w:rsidR="00C00172">
        <w:rPr>
          <w:rFonts w:ascii="Tahoma" w:eastAsiaTheme="minorEastAsia" w:hAnsi="Tahoma" w:cs="Tahoma" w:hint="eastAsia"/>
          <w:color w:val="231F20"/>
          <w:kern w:val="0"/>
          <w:sz w:val="22"/>
          <w:szCs w:val="22"/>
        </w:rPr>
        <w:t>)</w:t>
      </w:r>
      <w:r w:rsidRPr="009D4447">
        <w:rPr>
          <w:rFonts w:ascii="Tahoma" w:eastAsiaTheme="minorEastAsia" w:hAnsi="Tahoma" w:cs="Tahoma"/>
          <w:color w:val="231F20"/>
          <w:kern w:val="0"/>
          <w:sz w:val="22"/>
          <w:szCs w:val="22"/>
        </w:rPr>
        <w:t>, as well as immune checkpoint markers</w:t>
      </w:r>
      <w:r w:rsidR="00C00172">
        <w:rPr>
          <w:rFonts w:ascii="Tahoma" w:eastAsiaTheme="minorEastAsia" w:hAnsi="Tahoma" w:cs="Tahoma" w:hint="eastAsia"/>
          <w:color w:val="231F20"/>
          <w:kern w:val="0"/>
          <w:sz w:val="22"/>
          <w:szCs w:val="22"/>
        </w:rPr>
        <w:t xml:space="preserve"> (</w:t>
      </w:r>
      <w:r w:rsidR="00C00172" w:rsidRPr="00C00172">
        <w:rPr>
          <w:rFonts w:ascii="Tahoma" w:eastAsiaTheme="minorEastAsia" w:hAnsi="Tahoma" w:cs="Tahoma"/>
          <w:color w:val="231F20"/>
          <w:kern w:val="0"/>
          <w:sz w:val="22"/>
          <w:szCs w:val="22"/>
        </w:rPr>
        <w:t>CD274, CTLA4, PDCD1, PDCD1LG2, TIGIT, and HAVCR2)</w:t>
      </w:r>
      <w:r w:rsidRPr="009D4447">
        <w:rPr>
          <w:rFonts w:ascii="Tahoma" w:eastAsiaTheme="minorEastAsia" w:hAnsi="Tahoma" w:cs="Tahoma"/>
          <w:color w:val="231F20"/>
          <w:kern w:val="0"/>
          <w:sz w:val="22"/>
          <w:szCs w:val="22"/>
        </w:rPr>
        <w:t>. Spatial transcriptomics confirmed FANCD2 expression predominantly in MKI67+ malignant cells and CD4+ T-cells.</w:t>
      </w:r>
    </w:p>
    <w:p w14:paraId="498FFD21" w14:textId="77777777" w:rsidR="00A55E9C" w:rsidRPr="00C44E7C" w:rsidRDefault="00A55E9C" w:rsidP="00C44E7C">
      <w:pPr>
        <w:autoSpaceDE w:val="0"/>
        <w:autoSpaceDN w:val="0"/>
        <w:adjustRightInd w:val="0"/>
        <w:spacing w:line="360" w:lineRule="exact"/>
        <w:jc w:val="both"/>
        <w:rPr>
          <w:rFonts w:ascii="Tahoma" w:eastAsia="細明體" w:hAnsi="Tahoma" w:cs="Tahoma"/>
          <w:b/>
          <w:bCs/>
          <w:kern w:val="0"/>
          <w:sz w:val="22"/>
          <w:szCs w:val="22"/>
        </w:rPr>
      </w:pPr>
      <w:r w:rsidRPr="00C44E7C">
        <w:rPr>
          <w:rFonts w:ascii="Tahoma" w:eastAsia="細明體" w:hAnsi="Tahoma" w:cs="Tahoma"/>
          <w:b/>
          <w:bCs/>
          <w:kern w:val="0"/>
          <w:sz w:val="22"/>
          <w:szCs w:val="22"/>
        </w:rPr>
        <w:t>Conclusion</w:t>
      </w:r>
    </w:p>
    <w:p w14:paraId="6A05FEE1" w14:textId="617F4234" w:rsidR="00A55E9C" w:rsidRPr="00F917F9" w:rsidRDefault="002E7789" w:rsidP="00237AE9">
      <w:pPr>
        <w:autoSpaceDE w:val="0"/>
        <w:autoSpaceDN w:val="0"/>
        <w:adjustRightInd w:val="0"/>
        <w:spacing w:line="360" w:lineRule="exact"/>
        <w:jc w:val="both"/>
        <w:rPr>
          <w:rFonts w:ascii="Tahoma" w:eastAsiaTheme="minorEastAsia" w:hAnsi="Tahoma" w:cs="Tahoma"/>
          <w:b/>
          <w:bCs/>
          <w:color w:val="000000"/>
        </w:rPr>
      </w:pPr>
      <w:r>
        <w:rPr>
          <w:rFonts w:ascii="Tahoma" w:eastAsiaTheme="minorEastAsia" w:hAnsi="Tahoma" w:cs="Tahoma" w:hint="eastAsia"/>
          <w:color w:val="231F20"/>
          <w:kern w:val="0"/>
          <w:sz w:val="22"/>
          <w:szCs w:val="22"/>
        </w:rPr>
        <w:t>F</w:t>
      </w:r>
      <w:r w:rsidR="009D4447" w:rsidRPr="009D4447">
        <w:rPr>
          <w:rFonts w:ascii="Tahoma" w:eastAsiaTheme="minorEastAsia" w:hAnsi="Tahoma" w:cs="Tahoma"/>
          <w:color w:val="231F20"/>
          <w:kern w:val="0"/>
          <w:sz w:val="22"/>
          <w:szCs w:val="22"/>
        </w:rPr>
        <w:t>erroptosis suppressor FANCD2 emerges as a novel biomarker for BC clinicopathology and immunotherapy response prediction, promoting cell cycle progression and immunosuppression. These findings provide new insights into BC biology and potential therapeutic strategies.</w:t>
      </w:r>
    </w:p>
    <w:sectPr w:rsidR="00A55E9C" w:rsidRPr="00F917F9" w:rsidSect="003077C7">
      <w:pgSz w:w="12240" w:h="15840"/>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3FA00" w14:textId="77777777" w:rsidR="000E67D6" w:rsidRDefault="000E67D6" w:rsidP="006F4305">
      <w:r>
        <w:separator/>
      </w:r>
    </w:p>
  </w:endnote>
  <w:endnote w:type="continuationSeparator" w:id="0">
    <w:p w14:paraId="2100BF06" w14:textId="77777777" w:rsidR="000E67D6" w:rsidRDefault="000E67D6" w:rsidP="006F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華康細圓體">
    <w:altName w:val="微軟正黑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Tunga">
    <w:panose1 w:val="00000400000000000000"/>
    <w:charset w:val="00"/>
    <w:family w:val="swiss"/>
    <w:pitch w:val="variable"/>
    <w:sig w:usb0="004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0BC4C" w14:textId="77777777" w:rsidR="000E67D6" w:rsidRDefault="000E67D6" w:rsidP="006F4305">
      <w:r>
        <w:separator/>
      </w:r>
    </w:p>
  </w:footnote>
  <w:footnote w:type="continuationSeparator" w:id="0">
    <w:p w14:paraId="1BD7AF46" w14:textId="77777777" w:rsidR="000E67D6" w:rsidRDefault="000E67D6" w:rsidP="006F4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57E75"/>
    <w:multiLevelType w:val="hybridMultilevel"/>
    <w:tmpl w:val="2F7C1E88"/>
    <w:lvl w:ilvl="0" w:tplc="04090003">
      <w:start w:val="1"/>
      <w:numFmt w:val="bullet"/>
      <w:lvlText w:val=""/>
      <w:lvlJc w:val="left"/>
      <w:pPr>
        <w:tabs>
          <w:tab w:val="num" w:pos="1198"/>
        </w:tabs>
        <w:ind w:left="1198" w:hanging="480"/>
      </w:pPr>
      <w:rPr>
        <w:rFonts w:ascii="Wingdings" w:hAnsi="Wingdings" w:hint="default"/>
      </w:rPr>
    </w:lvl>
    <w:lvl w:ilvl="1" w:tplc="04090003" w:tentative="1">
      <w:start w:val="1"/>
      <w:numFmt w:val="bullet"/>
      <w:lvlText w:val=""/>
      <w:lvlJc w:val="left"/>
      <w:pPr>
        <w:tabs>
          <w:tab w:val="num" w:pos="1678"/>
        </w:tabs>
        <w:ind w:left="1678" w:hanging="480"/>
      </w:pPr>
      <w:rPr>
        <w:rFonts w:ascii="Wingdings" w:hAnsi="Wingdings" w:hint="default"/>
      </w:rPr>
    </w:lvl>
    <w:lvl w:ilvl="2" w:tplc="04090005" w:tentative="1">
      <w:start w:val="1"/>
      <w:numFmt w:val="bullet"/>
      <w:lvlText w:val=""/>
      <w:lvlJc w:val="left"/>
      <w:pPr>
        <w:tabs>
          <w:tab w:val="num" w:pos="2158"/>
        </w:tabs>
        <w:ind w:left="2158" w:hanging="480"/>
      </w:pPr>
      <w:rPr>
        <w:rFonts w:ascii="Wingdings" w:hAnsi="Wingdings" w:hint="default"/>
      </w:rPr>
    </w:lvl>
    <w:lvl w:ilvl="3" w:tplc="04090001" w:tentative="1">
      <w:start w:val="1"/>
      <w:numFmt w:val="bullet"/>
      <w:lvlText w:val=""/>
      <w:lvlJc w:val="left"/>
      <w:pPr>
        <w:tabs>
          <w:tab w:val="num" w:pos="2638"/>
        </w:tabs>
        <w:ind w:left="2638" w:hanging="480"/>
      </w:pPr>
      <w:rPr>
        <w:rFonts w:ascii="Wingdings" w:hAnsi="Wingdings" w:hint="default"/>
      </w:rPr>
    </w:lvl>
    <w:lvl w:ilvl="4" w:tplc="04090003" w:tentative="1">
      <w:start w:val="1"/>
      <w:numFmt w:val="bullet"/>
      <w:lvlText w:val=""/>
      <w:lvlJc w:val="left"/>
      <w:pPr>
        <w:tabs>
          <w:tab w:val="num" w:pos="3118"/>
        </w:tabs>
        <w:ind w:left="3118" w:hanging="480"/>
      </w:pPr>
      <w:rPr>
        <w:rFonts w:ascii="Wingdings" w:hAnsi="Wingdings" w:hint="default"/>
      </w:rPr>
    </w:lvl>
    <w:lvl w:ilvl="5" w:tplc="04090005" w:tentative="1">
      <w:start w:val="1"/>
      <w:numFmt w:val="bullet"/>
      <w:lvlText w:val=""/>
      <w:lvlJc w:val="left"/>
      <w:pPr>
        <w:tabs>
          <w:tab w:val="num" w:pos="3598"/>
        </w:tabs>
        <w:ind w:left="3598" w:hanging="480"/>
      </w:pPr>
      <w:rPr>
        <w:rFonts w:ascii="Wingdings" w:hAnsi="Wingdings" w:hint="default"/>
      </w:rPr>
    </w:lvl>
    <w:lvl w:ilvl="6" w:tplc="04090001" w:tentative="1">
      <w:start w:val="1"/>
      <w:numFmt w:val="bullet"/>
      <w:lvlText w:val=""/>
      <w:lvlJc w:val="left"/>
      <w:pPr>
        <w:tabs>
          <w:tab w:val="num" w:pos="4078"/>
        </w:tabs>
        <w:ind w:left="4078" w:hanging="480"/>
      </w:pPr>
      <w:rPr>
        <w:rFonts w:ascii="Wingdings" w:hAnsi="Wingdings" w:hint="default"/>
      </w:rPr>
    </w:lvl>
    <w:lvl w:ilvl="7" w:tplc="04090003" w:tentative="1">
      <w:start w:val="1"/>
      <w:numFmt w:val="bullet"/>
      <w:lvlText w:val=""/>
      <w:lvlJc w:val="left"/>
      <w:pPr>
        <w:tabs>
          <w:tab w:val="num" w:pos="4558"/>
        </w:tabs>
        <w:ind w:left="4558" w:hanging="480"/>
      </w:pPr>
      <w:rPr>
        <w:rFonts w:ascii="Wingdings" w:hAnsi="Wingdings" w:hint="default"/>
      </w:rPr>
    </w:lvl>
    <w:lvl w:ilvl="8" w:tplc="04090005" w:tentative="1">
      <w:start w:val="1"/>
      <w:numFmt w:val="bullet"/>
      <w:lvlText w:val=""/>
      <w:lvlJc w:val="left"/>
      <w:pPr>
        <w:tabs>
          <w:tab w:val="num" w:pos="5038"/>
        </w:tabs>
        <w:ind w:left="5038" w:hanging="480"/>
      </w:pPr>
      <w:rPr>
        <w:rFonts w:ascii="Wingdings" w:hAnsi="Wingdings" w:hint="default"/>
      </w:rPr>
    </w:lvl>
  </w:abstractNum>
  <w:abstractNum w:abstractNumId="1" w15:restartNumberingAfterBreak="0">
    <w:nsid w:val="2A937D10"/>
    <w:multiLevelType w:val="hybridMultilevel"/>
    <w:tmpl w:val="0346F58A"/>
    <w:lvl w:ilvl="0" w:tplc="6B4A92CE">
      <w:start w:val="1"/>
      <w:numFmt w:val="decimal"/>
      <w:pStyle w:val="TJCC"/>
      <w:lvlText w:val="A-I-%1"/>
      <w:lvlJc w:val="left"/>
      <w:pPr>
        <w:tabs>
          <w:tab w:val="num" w:pos="680"/>
        </w:tabs>
        <w:ind w:left="680" w:hanging="680"/>
      </w:pPr>
      <w:rPr>
        <w:rFonts w:ascii="Tahoma" w:hAnsi="Tahoma"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93C235D"/>
    <w:multiLevelType w:val="hybridMultilevel"/>
    <w:tmpl w:val="E5080FE8"/>
    <w:lvl w:ilvl="0" w:tplc="04090003">
      <w:start w:val="1"/>
      <w:numFmt w:val="bullet"/>
      <w:lvlText w:val=""/>
      <w:lvlJc w:val="left"/>
      <w:pPr>
        <w:tabs>
          <w:tab w:val="num" w:pos="1558"/>
        </w:tabs>
        <w:ind w:left="1558" w:hanging="480"/>
      </w:pPr>
      <w:rPr>
        <w:rFonts w:ascii="Wingdings" w:hAnsi="Wingdings" w:hint="default"/>
      </w:rPr>
    </w:lvl>
    <w:lvl w:ilvl="1" w:tplc="04090003" w:tentative="1">
      <w:start w:val="1"/>
      <w:numFmt w:val="bullet"/>
      <w:lvlText w:val=""/>
      <w:lvlJc w:val="left"/>
      <w:pPr>
        <w:tabs>
          <w:tab w:val="num" w:pos="2038"/>
        </w:tabs>
        <w:ind w:left="2038" w:hanging="480"/>
      </w:pPr>
      <w:rPr>
        <w:rFonts w:ascii="Wingdings" w:hAnsi="Wingdings" w:hint="default"/>
      </w:rPr>
    </w:lvl>
    <w:lvl w:ilvl="2" w:tplc="04090005" w:tentative="1">
      <w:start w:val="1"/>
      <w:numFmt w:val="bullet"/>
      <w:lvlText w:val=""/>
      <w:lvlJc w:val="left"/>
      <w:pPr>
        <w:tabs>
          <w:tab w:val="num" w:pos="2518"/>
        </w:tabs>
        <w:ind w:left="2518" w:hanging="480"/>
      </w:pPr>
      <w:rPr>
        <w:rFonts w:ascii="Wingdings" w:hAnsi="Wingdings" w:hint="default"/>
      </w:rPr>
    </w:lvl>
    <w:lvl w:ilvl="3" w:tplc="04090001" w:tentative="1">
      <w:start w:val="1"/>
      <w:numFmt w:val="bullet"/>
      <w:lvlText w:val=""/>
      <w:lvlJc w:val="left"/>
      <w:pPr>
        <w:tabs>
          <w:tab w:val="num" w:pos="2998"/>
        </w:tabs>
        <w:ind w:left="2998" w:hanging="480"/>
      </w:pPr>
      <w:rPr>
        <w:rFonts w:ascii="Wingdings" w:hAnsi="Wingdings" w:hint="default"/>
      </w:rPr>
    </w:lvl>
    <w:lvl w:ilvl="4" w:tplc="04090003" w:tentative="1">
      <w:start w:val="1"/>
      <w:numFmt w:val="bullet"/>
      <w:lvlText w:val=""/>
      <w:lvlJc w:val="left"/>
      <w:pPr>
        <w:tabs>
          <w:tab w:val="num" w:pos="3478"/>
        </w:tabs>
        <w:ind w:left="3478" w:hanging="480"/>
      </w:pPr>
      <w:rPr>
        <w:rFonts w:ascii="Wingdings" w:hAnsi="Wingdings" w:hint="default"/>
      </w:rPr>
    </w:lvl>
    <w:lvl w:ilvl="5" w:tplc="04090005" w:tentative="1">
      <w:start w:val="1"/>
      <w:numFmt w:val="bullet"/>
      <w:lvlText w:val=""/>
      <w:lvlJc w:val="left"/>
      <w:pPr>
        <w:tabs>
          <w:tab w:val="num" w:pos="3958"/>
        </w:tabs>
        <w:ind w:left="3958" w:hanging="480"/>
      </w:pPr>
      <w:rPr>
        <w:rFonts w:ascii="Wingdings" w:hAnsi="Wingdings" w:hint="default"/>
      </w:rPr>
    </w:lvl>
    <w:lvl w:ilvl="6" w:tplc="04090001" w:tentative="1">
      <w:start w:val="1"/>
      <w:numFmt w:val="bullet"/>
      <w:lvlText w:val=""/>
      <w:lvlJc w:val="left"/>
      <w:pPr>
        <w:tabs>
          <w:tab w:val="num" w:pos="4438"/>
        </w:tabs>
        <w:ind w:left="4438" w:hanging="480"/>
      </w:pPr>
      <w:rPr>
        <w:rFonts w:ascii="Wingdings" w:hAnsi="Wingdings" w:hint="default"/>
      </w:rPr>
    </w:lvl>
    <w:lvl w:ilvl="7" w:tplc="04090003" w:tentative="1">
      <w:start w:val="1"/>
      <w:numFmt w:val="bullet"/>
      <w:lvlText w:val=""/>
      <w:lvlJc w:val="left"/>
      <w:pPr>
        <w:tabs>
          <w:tab w:val="num" w:pos="4918"/>
        </w:tabs>
        <w:ind w:left="4918" w:hanging="480"/>
      </w:pPr>
      <w:rPr>
        <w:rFonts w:ascii="Wingdings" w:hAnsi="Wingdings" w:hint="default"/>
      </w:rPr>
    </w:lvl>
    <w:lvl w:ilvl="8" w:tplc="04090005" w:tentative="1">
      <w:start w:val="1"/>
      <w:numFmt w:val="bullet"/>
      <w:lvlText w:val=""/>
      <w:lvlJc w:val="left"/>
      <w:pPr>
        <w:tabs>
          <w:tab w:val="num" w:pos="5398"/>
        </w:tabs>
        <w:ind w:left="5398" w:hanging="480"/>
      </w:pPr>
      <w:rPr>
        <w:rFonts w:ascii="Wingdings" w:hAnsi="Wingdings" w:hint="default"/>
      </w:rPr>
    </w:lvl>
  </w:abstractNum>
  <w:num w:numId="1" w16cid:durableId="597905366">
    <w:abstractNumId w:val="1"/>
  </w:num>
  <w:num w:numId="2" w16cid:durableId="72628875">
    <w:abstractNumId w:val="1"/>
  </w:num>
  <w:num w:numId="3" w16cid:durableId="868877438">
    <w:abstractNumId w:val="0"/>
  </w:num>
  <w:num w:numId="4" w16cid:durableId="2007857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E9C"/>
    <w:rsid w:val="00000258"/>
    <w:rsid w:val="00002BFD"/>
    <w:rsid w:val="00004E4F"/>
    <w:rsid w:val="000112DA"/>
    <w:rsid w:val="00011472"/>
    <w:rsid w:val="00012759"/>
    <w:rsid w:val="00015D73"/>
    <w:rsid w:val="00016344"/>
    <w:rsid w:val="000164D0"/>
    <w:rsid w:val="00016A90"/>
    <w:rsid w:val="00024546"/>
    <w:rsid w:val="00025128"/>
    <w:rsid w:val="000470DA"/>
    <w:rsid w:val="0004786C"/>
    <w:rsid w:val="00050477"/>
    <w:rsid w:val="00060FB0"/>
    <w:rsid w:val="000614F1"/>
    <w:rsid w:val="00070FC4"/>
    <w:rsid w:val="00080EB6"/>
    <w:rsid w:val="00083BEB"/>
    <w:rsid w:val="00090F9D"/>
    <w:rsid w:val="0009261C"/>
    <w:rsid w:val="000934EB"/>
    <w:rsid w:val="000A1B64"/>
    <w:rsid w:val="000A4D33"/>
    <w:rsid w:val="000A4E60"/>
    <w:rsid w:val="000B1838"/>
    <w:rsid w:val="000B3AC5"/>
    <w:rsid w:val="000C3BDB"/>
    <w:rsid w:val="000D08BD"/>
    <w:rsid w:val="000D2B1D"/>
    <w:rsid w:val="000E271F"/>
    <w:rsid w:val="000E387A"/>
    <w:rsid w:val="000E3ED1"/>
    <w:rsid w:val="000E456A"/>
    <w:rsid w:val="000E67D6"/>
    <w:rsid w:val="000F0848"/>
    <w:rsid w:val="000F35CF"/>
    <w:rsid w:val="0010247A"/>
    <w:rsid w:val="00104F51"/>
    <w:rsid w:val="00110E7D"/>
    <w:rsid w:val="001122AB"/>
    <w:rsid w:val="00113353"/>
    <w:rsid w:val="00113911"/>
    <w:rsid w:val="0011777B"/>
    <w:rsid w:val="00117A40"/>
    <w:rsid w:val="00133D02"/>
    <w:rsid w:val="001355E1"/>
    <w:rsid w:val="00142433"/>
    <w:rsid w:val="0014619F"/>
    <w:rsid w:val="00146DDD"/>
    <w:rsid w:val="00146E8C"/>
    <w:rsid w:val="00150B16"/>
    <w:rsid w:val="00151576"/>
    <w:rsid w:val="001521DD"/>
    <w:rsid w:val="00155E4F"/>
    <w:rsid w:val="0015696A"/>
    <w:rsid w:val="00163C82"/>
    <w:rsid w:val="0016589B"/>
    <w:rsid w:val="00167A62"/>
    <w:rsid w:val="0017168C"/>
    <w:rsid w:val="00174048"/>
    <w:rsid w:val="00187681"/>
    <w:rsid w:val="001A3F8A"/>
    <w:rsid w:val="001A56AB"/>
    <w:rsid w:val="001A778F"/>
    <w:rsid w:val="001B7CC1"/>
    <w:rsid w:val="001D59B9"/>
    <w:rsid w:val="001E4843"/>
    <w:rsid w:val="001E65D3"/>
    <w:rsid w:val="001F7ABF"/>
    <w:rsid w:val="00200178"/>
    <w:rsid w:val="002031BA"/>
    <w:rsid w:val="002178A1"/>
    <w:rsid w:val="00222DD7"/>
    <w:rsid w:val="00226F09"/>
    <w:rsid w:val="00230B56"/>
    <w:rsid w:val="00231AC0"/>
    <w:rsid w:val="00231DD0"/>
    <w:rsid w:val="00232D32"/>
    <w:rsid w:val="0023450D"/>
    <w:rsid w:val="00237AE9"/>
    <w:rsid w:val="0024159D"/>
    <w:rsid w:val="00243B92"/>
    <w:rsid w:val="00243F94"/>
    <w:rsid w:val="002477AC"/>
    <w:rsid w:val="00250182"/>
    <w:rsid w:val="00253089"/>
    <w:rsid w:val="00253DE1"/>
    <w:rsid w:val="00255DF7"/>
    <w:rsid w:val="00255E99"/>
    <w:rsid w:val="0026106E"/>
    <w:rsid w:val="00261E13"/>
    <w:rsid w:val="00264451"/>
    <w:rsid w:val="00267C5C"/>
    <w:rsid w:val="00272BAA"/>
    <w:rsid w:val="00272F2A"/>
    <w:rsid w:val="002771D2"/>
    <w:rsid w:val="002833D3"/>
    <w:rsid w:val="00283C6D"/>
    <w:rsid w:val="00285213"/>
    <w:rsid w:val="00286CD1"/>
    <w:rsid w:val="00292C97"/>
    <w:rsid w:val="00293508"/>
    <w:rsid w:val="002942D5"/>
    <w:rsid w:val="00294402"/>
    <w:rsid w:val="0029484C"/>
    <w:rsid w:val="002956D6"/>
    <w:rsid w:val="002A3152"/>
    <w:rsid w:val="002A6700"/>
    <w:rsid w:val="002B6812"/>
    <w:rsid w:val="002C0B1D"/>
    <w:rsid w:val="002C37AA"/>
    <w:rsid w:val="002C5670"/>
    <w:rsid w:val="002D1D18"/>
    <w:rsid w:val="002D545F"/>
    <w:rsid w:val="002D7696"/>
    <w:rsid w:val="002E256C"/>
    <w:rsid w:val="002E36A0"/>
    <w:rsid w:val="002E4386"/>
    <w:rsid w:val="002E50F5"/>
    <w:rsid w:val="002E54B2"/>
    <w:rsid w:val="002E6285"/>
    <w:rsid w:val="002E7789"/>
    <w:rsid w:val="002F79AE"/>
    <w:rsid w:val="003002CE"/>
    <w:rsid w:val="0030503E"/>
    <w:rsid w:val="003076AE"/>
    <w:rsid w:val="003077C7"/>
    <w:rsid w:val="0031459B"/>
    <w:rsid w:val="00314BA8"/>
    <w:rsid w:val="00330F03"/>
    <w:rsid w:val="003326A0"/>
    <w:rsid w:val="00335533"/>
    <w:rsid w:val="0033686D"/>
    <w:rsid w:val="00337D36"/>
    <w:rsid w:val="00337DAE"/>
    <w:rsid w:val="00341DF9"/>
    <w:rsid w:val="003434F9"/>
    <w:rsid w:val="00343A63"/>
    <w:rsid w:val="003524BC"/>
    <w:rsid w:val="00357AFA"/>
    <w:rsid w:val="00364EF2"/>
    <w:rsid w:val="003651F2"/>
    <w:rsid w:val="00377025"/>
    <w:rsid w:val="003805B5"/>
    <w:rsid w:val="003927A0"/>
    <w:rsid w:val="00392BDC"/>
    <w:rsid w:val="003A3D48"/>
    <w:rsid w:val="003A52A1"/>
    <w:rsid w:val="003A5C39"/>
    <w:rsid w:val="003B5044"/>
    <w:rsid w:val="003C0543"/>
    <w:rsid w:val="003C23FD"/>
    <w:rsid w:val="003D1B30"/>
    <w:rsid w:val="003F2C90"/>
    <w:rsid w:val="003F61F9"/>
    <w:rsid w:val="003F69CF"/>
    <w:rsid w:val="0040132C"/>
    <w:rsid w:val="004109DA"/>
    <w:rsid w:val="00410CE8"/>
    <w:rsid w:val="0041342F"/>
    <w:rsid w:val="00422618"/>
    <w:rsid w:val="00426B55"/>
    <w:rsid w:val="00427061"/>
    <w:rsid w:val="00427ECE"/>
    <w:rsid w:val="004326EA"/>
    <w:rsid w:val="004342C8"/>
    <w:rsid w:val="00436D21"/>
    <w:rsid w:val="00437CF5"/>
    <w:rsid w:val="00443EB1"/>
    <w:rsid w:val="00446A5B"/>
    <w:rsid w:val="00452722"/>
    <w:rsid w:val="004560E5"/>
    <w:rsid w:val="0046052B"/>
    <w:rsid w:val="00483BEA"/>
    <w:rsid w:val="0048442D"/>
    <w:rsid w:val="0048497D"/>
    <w:rsid w:val="004907EA"/>
    <w:rsid w:val="00490D2C"/>
    <w:rsid w:val="004960DE"/>
    <w:rsid w:val="004A2FD7"/>
    <w:rsid w:val="004A337F"/>
    <w:rsid w:val="004A4223"/>
    <w:rsid w:val="004C1953"/>
    <w:rsid w:val="004C4B36"/>
    <w:rsid w:val="004C55B4"/>
    <w:rsid w:val="004C5C40"/>
    <w:rsid w:val="004D0DD1"/>
    <w:rsid w:val="004D3796"/>
    <w:rsid w:val="004D70C2"/>
    <w:rsid w:val="004E576B"/>
    <w:rsid w:val="004E6151"/>
    <w:rsid w:val="004E6CE4"/>
    <w:rsid w:val="004F2BAD"/>
    <w:rsid w:val="004F3A6B"/>
    <w:rsid w:val="004F7499"/>
    <w:rsid w:val="005003A3"/>
    <w:rsid w:val="00502879"/>
    <w:rsid w:val="005029FE"/>
    <w:rsid w:val="00502A88"/>
    <w:rsid w:val="00512DA1"/>
    <w:rsid w:val="00513034"/>
    <w:rsid w:val="005148FA"/>
    <w:rsid w:val="00516DBB"/>
    <w:rsid w:val="00526A00"/>
    <w:rsid w:val="00530721"/>
    <w:rsid w:val="0053104B"/>
    <w:rsid w:val="00533556"/>
    <w:rsid w:val="0054337B"/>
    <w:rsid w:val="00543574"/>
    <w:rsid w:val="005439D0"/>
    <w:rsid w:val="00553123"/>
    <w:rsid w:val="00556188"/>
    <w:rsid w:val="00556B3D"/>
    <w:rsid w:val="0055737C"/>
    <w:rsid w:val="00562CDF"/>
    <w:rsid w:val="00562FEE"/>
    <w:rsid w:val="00563941"/>
    <w:rsid w:val="00566FEB"/>
    <w:rsid w:val="0056741F"/>
    <w:rsid w:val="00567C47"/>
    <w:rsid w:val="0057035B"/>
    <w:rsid w:val="00580FF3"/>
    <w:rsid w:val="005851DF"/>
    <w:rsid w:val="00585C00"/>
    <w:rsid w:val="00585D6C"/>
    <w:rsid w:val="00587259"/>
    <w:rsid w:val="00587F32"/>
    <w:rsid w:val="005914B4"/>
    <w:rsid w:val="00592B71"/>
    <w:rsid w:val="00593023"/>
    <w:rsid w:val="00595001"/>
    <w:rsid w:val="0059559B"/>
    <w:rsid w:val="00595DDE"/>
    <w:rsid w:val="005A60FD"/>
    <w:rsid w:val="005B0A4A"/>
    <w:rsid w:val="005B67CB"/>
    <w:rsid w:val="005C280F"/>
    <w:rsid w:val="005C31F6"/>
    <w:rsid w:val="005C44F5"/>
    <w:rsid w:val="005C7C9C"/>
    <w:rsid w:val="005D5608"/>
    <w:rsid w:val="005E07DF"/>
    <w:rsid w:val="005F4ADF"/>
    <w:rsid w:val="00600EDD"/>
    <w:rsid w:val="00604025"/>
    <w:rsid w:val="006067F8"/>
    <w:rsid w:val="00613814"/>
    <w:rsid w:val="00614A95"/>
    <w:rsid w:val="00617118"/>
    <w:rsid w:val="006201B5"/>
    <w:rsid w:val="00621819"/>
    <w:rsid w:val="00623D05"/>
    <w:rsid w:val="0062477C"/>
    <w:rsid w:val="006257EB"/>
    <w:rsid w:val="006304F9"/>
    <w:rsid w:val="00636A74"/>
    <w:rsid w:val="00636F67"/>
    <w:rsid w:val="00647BCE"/>
    <w:rsid w:val="00647F06"/>
    <w:rsid w:val="0065140F"/>
    <w:rsid w:val="00652DAE"/>
    <w:rsid w:val="00660F40"/>
    <w:rsid w:val="00663AB6"/>
    <w:rsid w:val="00666B3E"/>
    <w:rsid w:val="00670F0A"/>
    <w:rsid w:val="006757F8"/>
    <w:rsid w:val="00676776"/>
    <w:rsid w:val="00680640"/>
    <w:rsid w:val="0068395C"/>
    <w:rsid w:val="0068475B"/>
    <w:rsid w:val="00695737"/>
    <w:rsid w:val="00695B1F"/>
    <w:rsid w:val="006A220E"/>
    <w:rsid w:val="006A375A"/>
    <w:rsid w:val="006A4D7E"/>
    <w:rsid w:val="006A6A5F"/>
    <w:rsid w:val="006B23D0"/>
    <w:rsid w:val="006B4874"/>
    <w:rsid w:val="006C0333"/>
    <w:rsid w:val="006C0CA5"/>
    <w:rsid w:val="006C0DB0"/>
    <w:rsid w:val="006C1DAB"/>
    <w:rsid w:val="006C6D3F"/>
    <w:rsid w:val="006D0514"/>
    <w:rsid w:val="006D1696"/>
    <w:rsid w:val="006D2B6D"/>
    <w:rsid w:val="006D5928"/>
    <w:rsid w:val="006D5C45"/>
    <w:rsid w:val="006D79A4"/>
    <w:rsid w:val="006E06D0"/>
    <w:rsid w:val="006E552D"/>
    <w:rsid w:val="006E7B69"/>
    <w:rsid w:val="006F2839"/>
    <w:rsid w:val="006F4305"/>
    <w:rsid w:val="006F4F1A"/>
    <w:rsid w:val="006F5346"/>
    <w:rsid w:val="006F7DCE"/>
    <w:rsid w:val="00703663"/>
    <w:rsid w:val="007066D2"/>
    <w:rsid w:val="00713CB2"/>
    <w:rsid w:val="00714929"/>
    <w:rsid w:val="00716092"/>
    <w:rsid w:val="00722754"/>
    <w:rsid w:val="00733536"/>
    <w:rsid w:val="00734D9F"/>
    <w:rsid w:val="00737097"/>
    <w:rsid w:val="00751F37"/>
    <w:rsid w:val="00752589"/>
    <w:rsid w:val="0075499C"/>
    <w:rsid w:val="00756BE8"/>
    <w:rsid w:val="0076144D"/>
    <w:rsid w:val="007631A2"/>
    <w:rsid w:val="007649F0"/>
    <w:rsid w:val="007659EC"/>
    <w:rsid w:val="00767753"/>
    <w:rsid w:val="00770AF6"/>
    <w:rsid w:val="00772E4D"/>
    <w:rsid w:val="00774437"/>
    <w:rsid w:val="00774D75"/>
    <w:rsid w:val="00777BC0"/>
    <w:rsid w:val="00777FAF"/>
    <w:rsid w:val="00781F86"/>
    <w:rsid w:val="0078329E"/>
    <w:rsid w:val="00787E2F"/>
    <w:rsid w:val="00792763"/>
    <w:rsid w:val="007A2024"/>
    <w:rsid w:val="007A5A53"/>
    <w:rsid w:val="007B0D52"/>
    <w:rsid w:val="007B6F55"/>
    <w:rsid w:val="007B7C28"/>
    <w:rsid w:val="007B7C9A"/>
    <w:rsid w:val="007C3057"/>
    <w:rsid w:val="007C4C3B"/>
    <w:rsid w:val="007C5713"/>
    <w:rsid w:val="007C615C"/>
    <w:rsid w:val="007C6B42"/>
    <w:rsid w:val="007D156E"/>
    <w:rsid w:val="007D7464"/>
    <w:rsid w:val="007E0325"/>
    <w:rsid w:val="007E08C9"/>
    <w:rsid w:val="007E6821"/>
    <w:rsid w:val="007E6E90"/>
    <w:rsid w:val="007E7674"/>
    <w:rsid w:val="007E7A84"/>
    <w:rsid w:val="007F08A7"/>
    <w:rsid w:val="007F548A"/>
    <w:rsid w:val="00803D20"/>
    <w:rsid w:val="00804C39"/>
    <w:rsid w:val="008110C1"/>
    <w:rsid w:val="008122E0"/>
    <w:rsid w:val="00814A6C"/>
    <w:rsid w:val="0082682F"/>
    <w:rsid w:val="00827415"/>
    <w:rsid w:val="00830AB0"/>
    <w:rsid w:val="00835AF1"/>
    <w:rsid w:val="00841E2E"/>
    <w:rsid w:val="00844D2B"/>
    <w:rsid w:val="00853775"/>
    <w:rsid w:val="0085429C"/>
    <w:rsid w:val="00856C5C"/>
    <w:rsid w:val="0085733F"/>
    <w:rsid w:val="0085780F"/>
    <w:rsid w:val="0086115A"/>
    <w:rsid w:val="00862B94"/>
    <w:rsid w:val="00863E22"/>
    <w:rsid w:val="008678ED"/>
    <w:rsid w:val="00870B80"/>
    <w:rsid w:val="008743A8"/>
    <w:rsid w:val="00890367"/>
    <w:rsid w:val="0089109A"/>
    <w:rsid w:val="00892514"/>
    <w:rsid w:val="00892823"/>
    <w:rsid w:val="008956DB"/>
    <w:rsid w:val="008A07D0"/>
    <w:rsid w:val="008A32EC"/>
    <w:rsid w:val="008B209A"/>
    <w:rsid w:val="008B32CE"/>
    <w:rsid w:val="008B3EF1"/>
    <w:rsid w:val="008B764D"/>
    <w:rsid w:val="008C317F"/>
    <w:rsid w:val="008C3D27"/>
    <w:rsid w:val="008C572C"/>
    <w:rsid w:val="008D02F4"/>
    <w:rsid w:val="008D4651"/>
    <w:rsid w:val="008D56FE"/>
    <w:rsid w:val="008E622C"/>
    <w:rsid w:val="008E67E3"/>
    <w:rsid w:val="008E719A"/>
    <w:rsid w:val="008F136A"/>
    <w:rsid w:val="008F2B45"/>
    <w:rsid w:val="008F3220"/>
    <w:rsid w:val="008F444C"/>
    <w:rsid w:val="00901DD2"/>
    <w:rsid w:val="00907209"/>
    <w:rsid w:val="00917CF5"/>
    <w:rsid w:val="00920E71"/>
    <w:rsid w:val="00921422"/>
    <w:rsid w:val="00921C30"/>
    <w:rsid w:val="00923106"/>
    <w:rsid w:val="00937170"/>
    <w:rsid w:val="009373ED"/>
    <w:rsid w:val="00957709"/>
    <w:rsid w:val="0096027D"/>
    <w:rsid w:val="0096314E"/>
    <w:rsid w:val="00964A66"/>
    <w:rsid w:val="00964F88"/>
    <w:rsid w:val="009653C4"/>
    <w:rsid w:val="009670B8"/>
    <w:rsid w:val="009725B7"/>
    <w:rsid w:val="009778DD"/>
    <w:rsid w:val="009929F8"/>
    <w:rsid w:val="009958C0"/>
    <w:rsid w:val="009A1DD9"/>
    <w:rsid w:val="009A289C"/>
    <w:rsid w:val="009B1143"/>
    <w:rsid w:val="009B145A"/>
    <w:rsid w:val="009B1979"/>
    <w:rsid w:val="009B2EB5"/>
    <w:rsid w:val="009B6C4D"/>
    <w:rsid w:val="009B7CA1"/>
    <w:rsid w:val="009C79B9"/>
    <w:rsid w:val="009D189F"/>
    <w:rsid w:val="009D3320"/>
    <w:rsid w:val="009D34BC"/>
    <w:rsid w:val="009D4447"/>
    <w:rsid w:val="009D7AFF"/>
    <w:rsid w:val="009E1C40"/>
    <w:rsid w:val="009E2B59"/>
    <w:rsid w:val="009E6240"/>
    <w:rsid w:val="009F0B9B"/>
    <w:rsid w:val="009F1563"/>
    <w:rsid w:val="009F235C"/>
    <w:rsid w:val="009F36AF"/>
    <w:rsid w:val="009F7979"/>
    <w:rsid w:val="009F7E6A"/>
    <w:rsid w:val="00A03CD0"/>
    <w:rsid w:val="00A0640B"/>
    <w:rsid w:val="00A06983"/>
    <w:rsid w:val="00A10368"/>
    <w:rsid w:val="00A11163"/>
    <w:rsid w:val="00A12717"/>
    <w:rsid w:val="00A142D4"/>
    <w:rsid w:val="00A2069B"/>
    <w:rsid w:val="00A20EB5"/>
    <w:rsid w:val="00A2653E"/>
    <w:rsid w:val="00A3026E"/>
    <w:rsid w:val="00A308B2"/>
    <w:rsid w:val="00A31E40"/>
    <w:rsid w:val="00A40F4A"/>
    <w:rsid w:val="00A43AF6"/>
    <w:rsid w:val="00A46BA9"/>
    <w:rsid w:val="00A55E9C"/>
    <w:rsid w:val="00A67100"/>
    <w:rsid w:val="00A727D1"/>
    <w:rsid w:val="00A733CA"/>
    <w:rsid w:val="00A74A98"/>
    <w:rsid w:val="00A77337"/>
    <w:rsid w:val="00A778DC"/>
    <w:rsid w:val="00A80D00"/>
    <w:rsid w:val="00A81562"/>
    <w:rsid w:val="00A82081"/>
    <w:rsid w:val="00A83C84"/>
    <w:rsid w:val="00A86533"/>
    <w:rsid w:val="00A940FA"/>
    <w:rsid w:val="00A9630F"/>
    <w:rsid w:val="00AA5163"/>
    <w:rsid w:val="00AA648B"/>
    <w:rsid w:val="00AB4891"/>
    <w:rsid w:val="00AB5DE6"/>
    <w:rsid w:val="00AB6788"/>
    <w:rsid w:val="00AB6AB4"/>
    <w:rsid w:val="00AC4E17"/>
    <w:rsid w:val="00AC7FB8"/>
    <w:rsid w:val="00AD101E"/>
    <w:rsid w:val="00AD1181"/>
    <w:rsid w:val="00AD5766"/>
    <w:rsid w:val="00AE1048"/>
    <w:rsid w:val="00AE1081"/>
    <w:rsid w:val="00AE499A"/>
    <w:rsid w:val="00AE52C0"/>
    <w:rsid w:val="00AE5C1C"/>
    <w:rsid w:val="00AE5D12"/>
    <w:rsid w:val="00AF104C"/>
    <w:rsid w:val="00AF162B"/>
    <w:rsid w:val="00AF27A9"/>
    <w:rsid w:val="00AF28A4"/>
    <w:rsid w:val="00B01602"/>
    <w:rsid w:val="00B023C9"/>
    <w:rsid w:val="00B04E45"/>
    <w:rsid w:val="00B1018E"/>
    <w:rsid w:val="00B106DD"/>
    <w:rsid w:val="00B12299"/>
    <w:rsid w:val="00B13FFC"/>
    <w:rsid w:val="00B1483A"/>
    <w:rsid w:val="00B20BB7"/>
    <w:rsid w:val="00B21D36"/>
    <w:rsid w:val="00B24BCE"/>
    <w:rsid w:val="00B42C0D"/>
    <w:rsid w:val="00B530F0"/>
    <w:rsid w:val="00B5423C"/>
    <w:rsid w:val="00B56300"/>
    <w:rsid w:val="00B61268"/>
    <w:rsid w:val="00B62594"/>
    <w:rsid w:val="00B63951"/>
    <w:rsid w:val="00B65A3E"/>
    <w:rsid w:val="00B66EFF"/>
    <w:rsid w:val="00B718EC"/>
    <w:rsid w:val="00B741E7"/>
    <w:rsid w:val="00B75041"/>
    <w:rsid w:val="00B83045"/>
    <w:rsid w:val="00B85438"/>
    <w:rsid w:val="00B85BB5"/>
    <w:rsid w:val="00B86CD3"/>
    <w:rsid w:val="00B87DF4"/>
    <w:rsid w:val="00B91A00"/>
    <w:rsid w:val="00B93B19"/>
    <w:rsid w:val="00B94D25"/>
    <w:rsid w:val="00B95020"/>
    <w:rsid w:val="00B97D42"/>
    <w:rsid w:val="00BA1058"/>
    <w:rsid w:val="00BA10E7"/>
    <w:rsid w:val="00BA2C9B"/>
    <w:rsid w:val="00BA61EB"/>
    <w:rsid w:val="00BB006B"/>
    <w:rsid w:val="00BB01DE"/>
    <w:rsid w:val="00BB122E"/>
    <w:rsid w:val="00BB39EE"/>
    <w:rsid w:val="00BB3F2F"/>
    <w:rsid w:val="00BB4E41"/>
    <w:rsid w:val="00BC692A"/>
    <w:rsid w:val="00BD28DF"/>
    <w:rsid w:val="00BE015E"/>
    <w:rsid w:val="00BE1604"/>
    <w:rsid w:val="00BE712D"/>
    <w:rsid w:val="00BF1E88"/>
    <w:rsid w:val="00BF33E7"/>
    <w:rsid w:val="00BF35D3"/>
    <w:rsid w:val="00BF47DA"/>
    <w:rsid w:val="00BF47E2"/>
    <w:rsid w:val="00BF7C4B"/>
    <w:rsid w:val="00C00172"/>
    <w:rsid w:val="00C04CF0"/>
    <w:rsid w:val="00C05D12"/>
    <w:rsid w:val="00C06710"/>
    <w:rsid w:val="00C06CFF"/>
    <w:rsid w:val="00C10C11"/>
    <w:rsid w:val="00C11C06"/>
    <w:rsid w:val="00C16006"/>
    <w:rsid w:val="00C21BE3"/>
    <w:rsid w:val="00C23F41"/>
    <w:rsid w:val="00C24F24"/>
    <w:rsid w:val="00C33A91"/>
    <w:rsid w:val="00C342A8"/>
    <w:rsid w:val="00C345ED"/>
    <w:rsid w:val="00C34A7F"/>
    <w:rsid w:val="00C37EE5"/>
    <w:rsid w:val="00C432F2"/>
    <w:rsid w:val="00C44E7C"/>
    <w:rsid w:val="00C515CB"/>
    <w:rsid w:val="00C546BB"/>
    <w:rsid w:val="00C5762E"/>
    <w:rsid w:val="00C57BE9"/>
    <w:rsid w:val="00C665A7"/>
    <w:rsid w:val="00C66F7A"/>
    <w:rsid w:val="00C70134"/>
    <w:rsid w:val="00C72783"/>
    <w:rsid w:val="00C72ADC"/>
    <w:rsid w:val="00C743CB"/>
    <w:rsid w:val="00C7578A"/>
    <w:rsid w:val="00C75915"/>
    <w:rsid w:val="00C800A9"/>
    <w:rsid w:val="00C8159D"/>
    <w:rsid w:val="00C9032B"/>
    <w:rsid w:val="00C92473"/>
    <w:rsid w:val="00C94C23"/>
    <w:rsid w:val="00CA0774"/>
    <w:rsid w:val="00CA43F7"/>
    <w:rsid w:val="00CB0888"/>
    <w:rsid w:val="00CB2173"/>
    <w:rsid w:val="00CB3A93"/>
    <w:rsid w:val="00CB729D"/>
    <w:rsid w:val="00CC26DE"/>
    <w:rsid w:val="00CC7A23"/>
    <w:rsid w:val="00CD5097"/>
    <w:rsid w:val="00CD7C2D"/>
    <w:rsid w:val="00CE684A"/>
    <w:rsid w:val="00CE7942"/>
    <w:rsid w:val="00CF02BF"/>
    <w:rsid w:val="00CF2D29"/>
    <w:rsid w:val="00CF2D6F"/>
    <w:rsid w:val="00CF3664"/>
    <w:rsid w:val="00CF4CE1"/>
    <w:rsid w:val="00D021F5"/>
    <w:rsid w:val="00D04596"/>
    <w:rsid w:val="00D05753"/>
    <w:rsid w:val="00D06107"/>
    <w:rsid w:val="00D138CA"/>
    <w:rsid w:val="00D15165"/>
    <w:rsid w:val="00D20346"/>
    <w:rsid w:val="00D26A71"/>
    <w:rsid w:val="00D338C5"/>
    <w:rsid w:val="00D36133"/>
    <w:rsid w:val="00D41210"/>
    <w:rsid w:val="00D41997"/>
    <w:rsid w:val="00D43702"/>
    <w:rsid w:val="00D473DF"/>
    <w:rsid w:val="00D56AAD"/>
    <w:rsid w:val="00D659AE"/>
    <w:rsid w:val="00D71DA6"/>
    <w:rsid w:val="00D735F2"/>
    <w:rsid w:val="00D84796"/>
    <w:rsid w:val="00D8646C"/>
    <w:rsid w:val="00DA569F"/>
    <w:rsid w:val="00DB0431"/>
    <w:rsid w:val="00DC09B6"/>
    <w:rsid w:val="00DC19E3"/>
    <w:rsid w:val="00DC1D07"/>
    <w:rsid w:val="00DC7FF4"/>
    <w:rsid w:val="00DD306C"/>
    <w:rsid w:val="00DD4FEF"/>
    <w:rsid w:val="00DD5B80"/>
    <w:rsid w:val="00DD78D9"/>
    <w:rsid w:val="00DD7B36"/>
    <w:rsid w:val="00DE00D6"/>
    <w:rsid w:val="00DE03CB"/>
    <w:rsid w:val="00DE5785"/>
    <w:rsid w:val="00DF00BC"/>
    <w:rsid w:val="00DF5C8D"/>
    <w:rsid w:val="00DF5FBA"/>
    <w:rsid w:val="00E0087D"/>
    <w:rsid w:val="00E012C0"/>
    <w:rsid w:val="00E01337"/>
    <w:rsid w:val="00E02E58"/>
    <w:rsid w:val="00E1202D"/>
    <w:rsid w:val="00E21B0E"/>
    <w:rsid w:val="00E229BF"/>
    <w:rsid w:val="00E23E4F"/>
    <w:rsid w:val="00E24A01"/>
    <w:rsid w:val="00E25A79"/>
    <w:rsid w:val="00E25B5D"/>
    <w:rsid w:val="00E26025"/>
    <w:rsid w:val="00E26CB2"/>
    <w:rsid w:val="00E311F5"/>
    <w:rsid w:val="00E318DE"/>
    <w:rsid w:val="00E34468"/>
    <w:rsid w:val="00E41C49"/>
    <w:rsid w:val="00E45BA2"/>
    <w:rsid w:val="00E524EC"/>
    <w:rsid w:val="00E54D3D"/>
    <w:rsid w:val="00E62373"/>
    <w:rsid w:val="00E66389"/>
    <w:rsid w:val="00E6759F"/>
    <w:rsid w:val="00E823B9"/>
    <w:rsid w:val="00E83FEA"/>
    <w:rsid w:val="00E85335"/>
    <w:rsid w:val="00E915F4"/>
    <w:rsid w:val="00E97461"/>
    <w:rsid w:val="00EA268D"/>
    <w:rsid w:val="00EA2859"/>
    <w:rsid w:val="00EA3FF1"/>
    <w:rsid w:val="00EA7533"/>
    <w:rsid w:val="00EC0C2D"/>
    <w:rsid w:val="00EC3190"/>
    <w:rsid w:val="00ED3EB6"/>
    <w:rsid w:val="00ED780F"/>
    <w:rsid w:val="00ED7C47"/>
    <w:rsid w:val="00EE0999"/>
    <w:rsid w:val="00EE10AB"/>
    <w:rsid w:val="00EE3C42"/>
    <w:rsid w:val="00EF0823"/>
    <w:rsid w:val="00F01BB1"/>
    <w:rsid w:val="00F0256E"/>
    <w:rsid w:val="00F04FD2"/>
    <w:rsid w:val="00F07BB0"/>
    <w:rsid w:val="00F1410B"/>
    <w:rsid w:val="00F175BA"/>
    <w:rsid w:val="00F20C3C"/>
    <w:rsid w:val="00F25EB0"/>
    <w:rsid w:val="00F27E7C"/>
    <w:rsid w:val="00F33441"/>
    <w:rsid w:val="00F34D17"/>
    <w:rsid w:val="00F414A5"/>
    <w:rsid w:val="00F44A67"/>
    <w:rsid w:val="00F44DB4"/>
    <w:rsid w:val="00F45D1B"/>
    <w:rsid w:val="00F50DF8"/>
    <w:rsid w:val="00F57313"/>
    <w:rsid w:val="00F60C26"/>
    <w:rsid w:val="00F60D15"/>
    <w:rsid w:val="00F610F2"/>
    <w:rsid w:val="00F628CA"/>
    <w:rsid w:val="00F67F72"/>
    <w:rsid w:val="00F70485"/>
    <w:rsid w:val="00F7225F"/>
    <w:rsid w:val="00F727ED"/>
    <w:rsid w:val="00F72A67"/>
    <w:rsid w:val="00F83EDD"/>
    <w:rsid w:val="00F84A7D"/>
    <w:rsid w:val="00F87C3B"/>
    <w:rsid w:val="00F9071A"/>
    <w:rsid w:val="00F917F9"/>
    <w:rsid w:val="00F935B1"/>
    <w:rsid w:val="00F94761"/>
    <w:rsid w:val="00F96963"/>
    <w:rsid w:val="00FA49BB"/>
    <w:rsid w:val="00FA54F1"/>
    <w:rsid w:val="00FA75D2"/>
    <w:rsid w:val="00FB3513"/>
    <w:rsid w:val="00FB3A0E"/>
    <w:rsid w:val="00FB7C17"/>
    <w:rsid w:val="00FC1321"/>
    <w:rsid w:val="00FC17E1"/>
    <w:rsid w:val="00FC1865"/>
    <w:rsid w:val="00FC26AD"/>
    <w:rsid w:val="00FD2732"/>
    <w:rsid w:val="00FE0EDB"/>
    <w:rsid w:val="00FE624A"/>
    <w:rsid w:val="00FF7FA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F1BE70"/>
  <w15:chartTrackingRefBased/>
  <w15:docId w15:val="{EA160BC6-B904-414F-A1F9-4E35E0EE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5E9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JCC">
    <w:name w:val="TJCC第ㄧ行"/>
    <w:basedOn w:val="a"/>
    <w:autoRedefine/>
    <w:rsid w:val="00917CF5"/>
    <w:pPr>
      <w:keepNext/>
      <w:keepLines/>
      <w:numPr>
        <w:numId w:val="2"/>
      </w:numPr>
      <w:suppressAutoHyphens/>
      <w:overflowPunct w:val="0"/>
      <w:adjustRightInd w:val="0"/>
      <w:snapToGrid w:val="0"/>
      <w:spacing w:line="320" w:lineRule="exact"/>
      <w:jc w:val="both"/>
      <w:outlineLvl w:val="0"/>
    </w:pPr>
    <w:rPr>
      <w:rFonts w:ascii="Tahoma" w:eastAsia="華康細圓體" w:hAnsi="標楷體" w:cs="新細明體"/>
      <w:color w:val="0000FF"/>
      <w:szCs w:val="28"/>
    </w:rPr>
  </w:style>
  <w:style w:type="paragraph" w:customStyle="1" w:styleId="TJCC0">
    <w:name w:val="TJCC第二行名字"/>
    <w:basedOn w:val="a"/>
    <w:autoRedefine/>
    <w:rsid w:val="00917CF5"/>
    <w:pPr>
      <w:keepLines/>
      <w:tabs>
        <w:tab w:val="left" w:pos="680"/>
      </w:tabs>
      <w:suppressAutoHyphens/>
      <w:adjustRightInd w:val="0"/>
      <w:snapToGrid w:val="0"/>
      <w:spacing w:before="120" w:after="120" w:line="280" w:lineRule="exact"/>
      <w:ind w:leftChars="280" w:left="280"/>
      <w:jc w:val="both"/>
      <w:outlineLvl w:val="1"/>
    </w:pPr>
    <w:rPr>
      <w:rFonts w:ascii="Tahoma" w:eastAsia="華康細圓體" w:hAnsi="標楷體" w:cs="新細明體"/>
      <w:color w:val="339966"/>
      <w:lang w:val="de-DE"/>
    </w:rPr>
  </w:style>
  <w:style w:type="paragraph" w:customStyle="1" w:styleId="TJCC1">
    <w:name w:val="TJCC第三行醫院"/>
    <w:basedOn w:val="a"/>
    <w:autoRedefine/>
    <w:rsid w:val="004109DA"/>
    <w:pPr>
      <w:kinsoku w:val="0"/>
      <w:overflowPunct w:val="0"/>
      <w:autoSpaceDE w:val="0"/>
      <w:autoSpaceDN w:val="0"/>
      <w:adjustRightInd w:val="0"/>
      <w:spacing w:beforeLines="50" w:before="180" w:line="240" w:lineRule="exact"/>
      <w:textAlignment w:val="baseline"/>
    </w:pPr>
    <w:rPr>
      <w:rFonts w:ascii="Tahoma" w:eastAsia="華康細圓體" w:hAnsi="Tahoma" w:cs="Tunga"/>
      <w:noProof/>
      <w:kern w:val="0"/>
    </w:rPr>
  </w:style>
  <w:style w:type="character" w:styleId="a3">
    <w:name w:val="Hyperlink"/>
    <w:rsid w:val="00A55E9C"/>
    <w:rPr>
      <w:color w:val="0000FF"/>
      <w:u w:val="single"/>
    </w:rPr>
  </w:style>
  <w:style w:type="paragraph" w:styleId="a4">
    <w:name w:val="Body Text"/>
    <w:basedOn w:val="a"/>
    <w:rsid w:val="00A55E9C"/>
    <w:pPr>
      <w:spacing w:after="120"/>
    </w:pPr>
  </w:style>
  <w:style w:type="table" w:styleId="a5">
    <w:name w:val="Table Grid"/>
    <w:basedOn w:val="a1"/>
    <w:rsid w:val="00A55E9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2">
    <w:name w:val="h12"/>
    <w:rsid w:val="00A55E9C"/>
    <w:rPr>
      <w:b/>
      <w:bCs/>
      <w:vanish w:val="0"/>
      <w:webHidden w:val="0"/>
      <w:color w:val="336633"/>
      <w:bdr w:val="double" w:sz="6" w:space="3" w:color="CCCCCC" w:frame="1"/>
      <w:specVanish w:val="0"/>
    </w:rPr>
  </w:style>
  <w:style w:type="paragraph" w:styleId="a6">
    <w:name w:val="header"/>
    <w:basedOn w:val="a"/>
    <w:link w:val="a7"/>
    <w:rsid w:val="006F4305"/>
    <w:pPr>
      <w:tabs>
        <w:tab w:val="center" w:pos="4153"/>
        <w:tab w:val="right" w:pos="8306"/>
      </w:tabs>
      <w:snapToGrid w:val="0"/>
    </w:pPr>
    <w:rPr>
      <w:sz w:val="20"/>
      <w:szCs w:val="20"/>
    </w:rPr>
  </w:style>
  <w:style w:type="character" w:customStyle="1" w:styleId="a7">
    <w:name w:val="頁首 字元"/>
    <w:link w:val="a6"/>
    <w:rsid w:val="006F4305"/>
    <w:rPr>
      <w:kern w:val="2"/>
    </w:rPr>
  </w:style>
  <w:style w:type="paragraph" w:styleId="a8">
    <w:name w:val="footer"/>
    <w:basedOn w:val="a"/>
    <w:link w:val="a9"/>
    <w:rsid w:val="006F4305"/>
    <w:pPr>
      <w:tabs>
        <w:tab w:val="center" w:pos="4153"/>
        <w:tab w:val="right" w:pos="8306"/>
      </w:tabs>
      <w:snapToGrid w:val="0"/>
    </w:pPr>
    <w:rPr>
      <w:sz w:val="20"/>
      <w:szCs w:val="20"/>
    </w:rPr>
  </w:style>
  <w:style w:type="character" w:customStyle="1" w:styleId="a9">
    <w:name w:val="頁尾 字元"/>
    <w:link w:val="a8"/>
    <w:rsid w:val="006F430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327</Words>
  <Characters>1868</Characters>
  <Application>Microsoft Office Word</Application>
  <DocSecurity>0</DocSecurity>
  <Lines>15</Lines>
  <Paragraphs>4</Paragraphs>
  <ScaleCrop>false</ScaleCrop>
  <Company>CMT</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BCST</dc:creator>
  <cp:keywords/>
  <dc:description/>
  <cp:lastModifiedBy>宏昱 林</cp:lastModifiedBy>
  <cp:revision>8</cp:revision>
  <cp:lastPrinted>2012-02-07T02:56:00Z</cp:lastPrinted>
  <dcterms:created xsi:type="dcterms:W3CDTF">2024-07-26T09:32:00Z</dcterms:created>
  <dcterms:modified xsi:type="dcterms:W3CDTF">2024-07-26T09:52:00Z</dcterms:modified>
</cp:coreProperties>
</file>