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CD75" w14:textId="5B5F72C2" w:rsidR="00514637" w:rsidRPr="002C37E8" w:rsidRDefault="00514637" w:rsidP="002C37E8">
      <w:pPr>
        <w:pStyle w:val="a4"/>
        <w:spacing w:before="360" w:after="180" w:line="360" w:lineRule="exact"/>
        <w:rPr>
          <w:rFonts w:ascii="Tahoma" w:eastAsia="華康細圓體" w:hAnsi="Tahoma" w:cs="Tahoma"/>
          <w:color w:val="auto"/>
          <w:sz w:val="28"/>
          <w:szCs w:val="28"/>
        </w:rPr>
      </w:pPr>
      <w:bookmarkStart w:id="0" w:name="_Hlk531164087"/>
      <w:r w:rsidRPr="002C37E8">
        <w:rPr>
          <w:rFonts w:ascii="Tahoma" w:eastAsia="華康細圓體" w:hAnsi="Tahoma" w:cs="Tahoma"/>
          <w:color w:val="auto"/>
          <w:sz w:val="28"/>
          <w:szCs w:val="28"/>
        </w:rPr>
        <w:t>LOC100506691, a long noncoding RNA, acts as novel oncogene in</w:t>
      </w:r>
      <w:r w:rsidR="00D16D8F" w:rsidRPr="002C37E8">
        <w:rPr>
          <w:rFonts w:ascii="Tahoma" w:eastAsia="華康細圓體" w:hAnsi="Tahoma" w:cs="Tahoma" w:hint="eastAsia"/>
          <w:color w:val="auto"/>
          <w:sz w:val="28"/>
          <w:szCs w:val="28"/>
        </w:rPr>
        <w:t xml:space="preserve"> </w:t>
      </w:r>
      <w:r w:rsidRPr="002C37E8">
        <w:rPr>
          <w:rFonts w:ascii="Tahoma" w:eastAsia="華康細圓體" w:hAnsi="Tahoma" w:cs="Tahoma"/>
          <w:color w:val="auto"/>
          <w:sz w:val="28"/>
          <w:szCs w:val="28"/>
        </w:rPr>
        <w:t xml:space="preserve">regulating breast cancer growth </w:t>
      </w:r>
    </w:p>
    <w:p w14:paraId="6947F531" w14:textId="12AEE42C" w:rsidR="00514637" w:rsidRPr="002C37E8" w:rsidRDefault="00514637" w:rsidP="002C37E8">
      <w:pPr>
        <w:pStyle w:val="a4"/>
        <w:spacing w:after="120" w:line="360" w:lineRule="exact"/>
        <w:rPr>
          <w:rFonts w:ascii="Tahoma" w:eastAsia="新細明體" w:hAnsi="Tahoma" w:cs="Tahoma"/>
          <w:color w:val="auto"/>
          <w:sz w:val="22"/>
          <w:szCs w:val="22"/>
        </w:rPr>
      </w:pPr>
      <w:r w:rsidRPr="002C37E8">
        <w:rPr>
          <w:rFonts w:ascii="Tahoma" w:eastAsia="新細明體" w:hAnsi="Tahoma" w:cs="Tahoma" w:hint="eastAsia"/>
          <w:color w:val="auto"/>
          <w:sz w:val="22"/>
          <w:szCs w:val="22"/>
        </w:rPr>
        <w:t>K</w:t>
      </w:r>
      <w:r w:rsidRPr="002C37E8">
        <w:rPr>
          <w:rFonts w:ascii="Tahoma" w:eastAsia="新細明體" w:hAnsi="Tahoma" w:cs="Tahoma"/>
          <w:color w:val="auto"/>
          <w:sz w:val="22"/>
          <w:szCs w:val="22"/>
        </w:rPr>
        <w:t>ian-Hwee, Chong</w:t>
      </w:r>
      <w:r w:rsidRPr="002C37E8">
        <w:rPr>
          <w:rFonts w:ascii="Tahoma" w:eastAsia="新細明體" w:hAnsi="Tahoma" w:cs="Tahoma"/>
          <w:color w:val="auto"/>
          <w:sz w:val="22"/>
          <w:szCs w:val="22"/>
          <w:vertAlign w:val="superscript"/>
        </w:rPr>
        <w:t>1</w:t>
      </w:r>
      <w:r w:rsidR="0004329F">
        <w:rPr>
          <w:rFonts w:ascii="Tahoma" w:eastAsia="新細明體" w:hAnsi="Tahoma" w:cs="Tahoma" w:hint="eastAsia"/>
          <w:color w:val="auto"/>
          <w:sz w:val="22"/>
          <w:szCs w:val="22"/>
          <w:vertAlign w:val="superscript"/>
        </w:rPr>
        <w:t>,3</w:t>
      </w:r>
      <w:r w:rsidRPr="002C37E8">
        <w:rPr>
          <w:rFonts w:ascii="Tahoma" w:eastAsia="新細明體" w:hAnsi="Tahoma" w:cs="Tahoma"/>
          <w:color w:val="auto"/>
          <w:sz w:val="22"/>
          <w:szCs w:val="22"/>
        </w:rPr>
        <w:t>, Kuo-Wang Tsai</w:t>
      </w:r>
      <w:proofErr w:type="gramStart"/>
      <w:r w:rsidRPr="002C37E8">
        <w:rPr>
          <w:rFonts w:ascii="Tahoma" w:eastAsia="新細明體" w:hAnsi="Tahoma" w:cs="Tahoma"/>
          <w:color w:val="auto"/>
          <w:sz w:val="22"/>
          <w:szCs w:val="22"/>
          <w:vertAlign w:val="superscript"/>
        </w:rPr>
        <w:t>2</w:t>
      </w:r>
      <w:r w:rsidRPr="002C37E8">
        <w:rPr>
          <w:rFonts w:ascii="Tahoma" w:eastAsia="新細明體" w:hAnsi="Tahoma" w:cs="Tahoma" w:hint="eastAsia"/>
          <w:color w:val="auto"/>
          <w:sz w:val="22"/>
          <w:szCs w:val="22"/>
        </w:rPr>
        <w:t xml:space="preserve"> </w:t>
      </w:r>
      <w:r w:rsidRPr="002C37E8">
        <w:rPr>
          <w:rFonts w:ascii="Tahoma" w:eastAsia="新細明體" w:hAnsi="Tahoma" w:cs="Tahoma"/>
          <w:color w:val="auto"/>
          <w:sz w:val="22"/>
          <w:szCs w:val="22"/>
        </w:rPr>
        <w:t>,</w:t>
      </w:r>
      <w:r w:rsidR="0004329F">
        <w:rPr>
          <w:rFonts w:ascii="Tahoma" w:eastAsia="新細明體" w:hAnsi="Tahoma" w:cs="Tahoma" w:hint="eastAsia"/>
          <w:color w:val="auto"/>
          <w:sz w:val="22"/>
          <w:szCs w:val="22"/>
        </w:rPr>
        <w:t>Y</w:t>
      </w:r>
      <w:r w:rsidRPr="002C37E8">
        <w:rPr>
          <w:rFonts w:ascii="Tahoma" w:eastAsia="新細明體" w:hAnsi="Tahoma" w:cs="Tahoma" w:hint="eastAsia"/>
          <w:color w:val="auto"/>
          <w:sz w:val="22"/>
          <w:szCs w:val="22"/>
        </w:rPr>
        <w:t>ao</w:t>
      </w:r>
      <w:proofErr w:type="gramEnd"/>
      <w:r w:rsidRPr="002C37E8">
        <w:rPr>
          <w:rFonts w:ascii="Tahoma" w:eastAsia="新細明體" w:hAnsi="Tahoma" w:cs="Tahoma" w:hint="eastAsia"/>
          <w:color w:val="auto"/>
          <w:sz w:val="22"/>
          <w:szCs w:val="22"/>
        </w:rPr>
        <w:t>-Jen Chang</w:t>
      </w:r>
      <w:r w:rsidRPr="002C37E8">
        <w:rPr>
          <w:rFonts w:ascii="Tahoma" w:eastAsia="新細明體" w:hAnsi="Tahoma" w:cs="Tahoma" w:hint="eastAsia"/>
          <w:color w:val="auto"/>
          <w:sz w:val="22"/>
          <w:szCs w:val="22"/>
          <w:vertAlign w:val="superscript"/>
        </w:rPr>
        <w:t>1,</w:t>
      </w:r>
      <w:r w:rsidRPr="002C37E8">
        <w:rPr>
          <w:rFonts w:ascii="Tahoma" w:eastAsia="新細明體" w:hAnsi="Tahoma" w:cs="Tahoma"/>
          <w:color w:val="auto"/>
          <w:sz w:val="22"/>
          <w:szCs w:val="22"/>
          <w:vertAlign w:val="superscript"/>
        </w:rPr>
        <w:t>3</w:t>
      </w:r>
    </w:p>
    <w:p w14:paraId="08964407" w14:textId="76DC6743" w:rsidR="00514637" w:rsidRPr="002C37E8" w:rsidRDefault="002C37E8" w:rsidP="002C37E8">
      <w:pPr>
        <w:pStyle w:val="a4"/>
        <w:spacing w:after="120" w:line="360" w:lineRule="exact"/>
        <w:rPr>
          <w:rFonts w:ascii="Tahoma" w:eastAsia="新細明體" w:hAnsi="Tahoma" w:cs="Tahoma"/>
          <w:color w:val="auto"/>
          <w:sz w:val="22"/>
          <w:szCs w:val="22"/>
        </w:rPr>
      </w:pPr>
      <w:r>
        <w:rPr>
          <w:rFonts w:ascii="Tahoma" w:eastAsia="新細明體" w:hAnsi="Tahoma" w:cs="Tahoma" w:hint="eastAsia"/>
          <w:color w:val="auto"/>
          <w:sz w:val="22"/>
          <w:szCs w:val="22"/>
        </w:rPr>
        <w:t>#</w:t>
      </w:r>
      <w:r w:rsidR="00514637" w:rsidRPr="002C37E8">
        <w:rPr>
          <w:rFonts w:ascii="Tahoma" w:eastAsia="新細明體" w:hAnsi="Tahoma" w:cs="Tahoma"/>
          <w:color w:val="auto"/>
          <w:sz w:val="22"/>
          <w:szCs w:val="22"/>
        </w:rPr>
        <w:t>1</w:t>
      </w:r>
      <w:r>
        <w:rPr>
          <w:rFonts w:ascii="Tahoma" w:eastAsia="新細明體" w:hAnsi="Tahoma" w:cs="Tahoma" w:hint="eastAsia"/>
          <w:color w:val="auto"/>
          <w:sz w:val="22"/>
          <w:szCs w:val="22"/>
        </w:rPr>
        <w:t xml:space="preserve"> </w:t>
      </w:r>
      <w:r w:rsidR="00514637" w:rsidRPr="002C37E8">
        <w:rPr>
          <w:rFonts w:ascii="Tahoma" w:eastAsia="新細明體" w:hAnsi="Tahoma" w:cs="Tahoma"/>
          <w:color w:val="auto"/>
          <w:sz w:val="22"/>
          <w:szCs w:val="22"/>
        </w:rPr>
        <w:t>Division of General Surgery, Department of Surgery, Taipei Tzu Chi Hospital, Buddhist Tzu Chi Medical Foundation, New Taipei, Taiwan</w:t>
      </w:r>
      <w:bookmarkStart w:id="1" w:name="_Hlk32333026"/>
    </w:p>
    <w:p w14:paraId="07BC7140" w14:textId="732DEA87" w:rsidR="00514637" w:rsidRPr="002C37E8" w:rsidRDefault="002C37E8" w:rsidP="002C37E8">
      <w:pPr>
        <w:pStyle w:val="a4"/>
        <w:spacing w:after="120" w:line="360" w:lineRule="exact"/>
        <w:rPr>
          <w:rFonts w:ascii="Tahoma" w:eastAsia="新細明體" w:hAnsi="Tahoma" w:cs="Tahoma"/>
          <w:color w:val="auto"/>
          <w:sz w:val="22"/>
          <w:szCs w:val="22"/>
        </w:rPr>
      </w:pPr>
      <w:r>
        <w:rPr>
          <w:rFonts w:ascii="Tahoma" w:eastAsia="新細明體" w:hAnsi="Tahoma" w:cs="Tahoma" w:hint="eastAsia"/>
          <w:color w:val="auto"/>
          <w:sz w:val="22"/>
          <w:szCs w:val="22"/>
        </w:rPr>
        <w:t>#</w:t>
      </w:r>
      <w:r w:rsidR="00514637" w:rsidRPr="002C37E8">
        <w:rPr>
          <w:rFonts w:ascii="Tahoma" w:eastAsia="新細明體" w:hAnsi="Tahoma" w:cs="Tahoma"/>
          <w:color w:val="auto"/>
          <w:sz w:val="22"/>
          <w:szCs w:val="22"/>
        </w:rPr>
        <w:t>2</w:t>
      </w:r>
      <w:r>
        <w:rPr>
          <w:rFonts w:ascii="Tahoma" w:eastAsia="新細明體" w:hAnsi="Tahoma" w:cs="Tahoma" w:hint="eastAsia"/>
          <w:color w:val="auto"/>
          <w:sz w:val="22"/>
          <w:szCs w:val="22"/>
        </w:rPr>
        <w:t xml:space="preserve"> </w:t>
      </w:r>
      <w:r w:rsidR="00514637" w:rsidRPr="002C37E8">
        <w:rPr>
          <w:rFonts w:ascii="Tahoma" w:eastAsia="新細明體" w:hAnsi="Tahoma" w:cs="Tahoma"/>
          <w:color w:val="auto"/>
          <w:sz w:val="22"/>
          <w:szCs w:val="22"/>
        </w:rPr>
        <w:t xml:space="preserve">Department of Research, Taipei Tzu Chi Hospital, Buddhist Tzu Chi Medical Foundation, New Taipei, Taiwan; </w:t>
      </w:r>
      <w:bookmarkEnd w:id="1"/>
    </w:p>
    <w:p w14:paraId="63515A45" w14:textId="7485D227" w:rsidR="00514637" w:rsidRPr="002C37E8" w:rsidRDefault="002C37E8" w:rsidP="002C37E8">
      <w:pPr>
        <w:pStyle w:val="a4"/>
        <w:spacing w:after="120" w:line="360" w:lineRule="exact"/>
        <w:rPr>
          <w:rFonts w:ascii="Tahoma" w:eastAsia="新細明體" w:hAnsi="Tahoma" w:cs="Tahoma"/>
          <w:color w:val="auto"/>
          <w:sz w:val="22"/>
          <w:szCs w:val="22"/>
        </w:rPr>
      </w:pPr>
      <w:r>
        <w:rPr>
          <w:rFonts w:ascii="Tahoma" w:eastAsia="新細明體" w:hAnsi="Tahoma" w:cs="Tahoma" w:hint="eastAsia"/>
          <w:color w:val="auto"/>
          <w:sz w:val="22"/>
          <w:szCs w:val="22"/>
        </w:rPr>
        <w:t>#</w:t>
      </w:r>
      <w:r w:rsidR="00514637" w:rsidRPr="002C37E8">
        <w:rPr>
          <w:rFonts w:ascii="Tahoma" w:eastAsia="新細明體" w:hAnsi="Tahoma" w:cs="Tahoma"/>
          <w:color w:val="auto"/>
          <w:sz w:val="22"/>
          <w:szCs w:val="22"/>
        </w:rPr>
        <w:t>3</w:t>
      </w:r>
      <w:r>
        <w:rPr>
          <w:rFonts w:ascii="Tahoma" w:eastAsia="新細明體" w:hAnsi="Tahoma" w:cs="Tahoma" w:hint="eastAsia"/>
          <w:color w:val="auto"/>
          <w:sz w:val="22"/>
          <w:szCs w:val="22"/>
        </w:rPr>
        <w:t xml:space="preserve"> </w:t>
      </w:r>
      <w:r w:rsidR="00514637" w:rsidRPr="002C37E8">
        <w:rPr>
          <w:rFonts w:ascii="Tahoma" w:eastAsia="新細明體" w:hAnsi="Tahoma" w:cs="Tahoma"/>
          <w:color w:val="auto"/>
          <w:sz w:val="22"/>
          <w:szCs w:val="22"/>
        </w:rPr>
        <w:t xml:space="preserve">School of Medicine, Tzu Chi University, Hualien, Taiwan </w:t>
      </w:r>
    </w:p>
    <w:p w14:paraId="430107D8" w14:textId="77777777" w:rsidR="004410A9" w:rsidRPr="004410A9" w:rsidRDefault="004410A9" w:rsidP="00514637">
      <w:pPr>
        <w:pStyle w:val="a4"/>
        <w:spacing w:before="50"/>
        <w:ind w:left="135" w:hangingChars="75" w:hanging="135"/>
        <w:jc w:val="both"/>
        <w:rPr>
          <w:rFonts w:ascii="Times New Roman" w:hAnsi="Times New Roman"/>
          <w:bCs/>
          <w:color w:val="auto"/>
          <w:kern w:val="0"/>
          <w:sz w:val="18"/>
          <w:szCs w:val="18"/>
          <w:vertAlign w:val="superscript"/>
        </w:rPr>
      </w:pPr>
    </w:p>
    <w:p w14:paraId="5B351B3C" w14:textId="55469D68" w:rsidR="002C37E8" w:rsidRPr="002C37E8" w:rsidRDefault="004410A9" w:rsidP="002C37E8">
      <w:pPr>
        <w:spacing w:line="360" w:lineRule="exact"/>
        <w:jc w:val="both"/>
        <w:rPr>
          <w:rFonts w:ascii="Tahoma" w:eastAsia="細明體" w:hAnsi="Tahoma" w:cs="Tahoma"/>
          <w:b/>
          <w:bCs/>
          <w:kern w:val="0"/>
          <w:sz w:val="22"/>
          <w:szCs w:val="22"/>
        </w:rPr>
      </w:pPr>
      <w:r w:rsidRPr="002C37E8">
        <w:rPr>
          <w:rFonts w:ascii="Tahoma" w:eastAsia="細明體" w:hAnsi="Tahoma" w:cs="Tahoma"/>
          <w:b/>
          <w:bCs/>
          <w:kern w:val="0"/>
          <w:sz w:val="22"/>
          <w:szCs w:val="22"/>
        </w:rPr>
        <w:t>Purpose</w:t>
      </w:r>
    </w:p>
    <w:p w14:paraId="49BDE920" w14:textId="78C93CF9" w:rsidR="004410A9" w:rsidRDefault="004410A9" w:rsidP="002C37E8">
      <w:pPr>
        <w:autoSpaceDE w:val="0"/>
        <w:autoSpaceDN w:val="0"/>
        <w:adjustRightInd w:val="0"/>
        <w:spacing w:line="360" w:lineRule="exact"/>
        <w:jc w:val="both"/>
        <w:rPr>
          <w:rFonts w:ascii="Tahoma" w:eastAsiaTheme="minorEastAsia" w:hAnsi="Tahoma" w:cs="Tahoma"/>
          <w:color w:val="231F20"/>
          <w:kern w:val="0"/>
          <w:sz w:val="22"/>
          <w:szCs w:val="22"/>
        </w:rPr>
      </w:pPr>
      <w:r w:rsidRPr="002C37E8">
        <w:rPr>
          <w:rFonts w:ascii="Tahoma" w:eastAsia="Univers" w:hAnsi="Tahoma" w:cs="Tahoma"/>
          <w:color w:val="231F20"/>
          <w:kern w:val="0"/>
          <w:sz w:val="22"/>
          <w:szCs w:val="22"/>
        </w:rPr>
        <w:t>Long non-coding RNAs (</w:t>
      </w:r>
      <w:proofErr w:type="spellStart"/>
      <w:r w:rsidRPr="002C37E8">
        <w:rPr>
          <w:rFonts w:ascii="Tahoma" w:eastAsia="Univers" w:hAnsi="Tahoma" w:cs="Tahoma"/>
          <w:color w:val="231F20"/>
          <w:kern w:val="0"/>
          <w:sz w:val="22"/>
          <w:szCs w:val="22"/>
        </w:rPr>
        <w:t>LncRNAs</w:t>
      </w:r>
      <w:proofErr w:type="spellEnd"/>
      <w:r w:rsidRPr="002C37E8">
        <w:rPr>
          <w:rFonts w:ascii="Tahoma" w:eastAsia="Univers" w:hAnsi="Tahoma" w:cs="Tahoma"/>
          <w:color w:val="231F20"/>
          <w:kern w:val="0"/>
          <w:sz w:val="22"/>
          <w:szCs w:val="22"/>
        </w:rPr>
        <w:t>), which are noncoding transcripts over 200 nucleotides in length, have recently emerged as significant molecules in human cancer progression. This study aims to investigate the role of LOC100506691 in the regulation of cell growth in breast cancer.</w:t>
      </w:r>
    </w:p>
    <w:p w14:paraId="07848369" w14:textId="77777777" w:rsidR="002C37E8" w:rsidRPr="002C37E8" w:rsidRDefault="002C37E8" w:rsidP="002C37E8">
      <w:pPr>
        <w:autoSpaceDE w:val="0"/>
        <w:autoSpaceDN w:val="0"/>
        <w:adjustRightInd w:val="0"/>
        <w:spacing w:line="360" w:lineRule="exact"/>
        <w:jc w:val="both"/>
        <w:rPr>
          <w:rFonts w:ascii="Tahoma" w:eastAsiaTheme="minorEastAsia" w:hAnsi="Tahoma" w:cs="Tahoma"/>
          <w:color w:val="231F20"/>
          <w:kern w:val="0"/>
          <w:sz w:val="22"/>
          <w:szCs w:val="22"/>
        </w:rPr>
      </w:pPr>
    </w:p>
    <w:p w14:paraId="4A0BB2B7" w14:textId="036269B8" w:rsidR="00D37610" w:rsidRPr="002C37E8" w:rsidRDefault="00D37610" w:rsidP="002C37E8">
      <w:pPr>
        <w:autoSpaceDE w:val="0"/>
        <w:autoSpaceDN w:val="0"/>
        <w:adjustRightInd w:val="0"/>
        <w:spacing w:line="360" w:lineRule="exact"/>
        <w:jc w:val="both"/>
        <w:rPr>
          <w:rFonts w:ascii="Tahoma" w:eastAsiaTheme="minorEastAsia" w:hAnsi="Tahoma" w:cs="Tahoma"/>
          <w:b/>
          <w:bCs/>
          <w:color w:val="231F20"/>
          <w:kern w:val="0"/>
          <w:sz w:val="22"/>
          <w:szCs w:val="22"/>
        </w:rPr>
      </w:pPr>
      <w:r w:rsidRPr="002C37E8">
        <w:rPr>
          <w:rFonts w:ascii="Tahoma" w:eastAsia="Univers" w:hAnsi="Tahoma" w:cs="Tahoma"/>
          <w:b/>
          <w:bCs/>
          <w:color w:val="231F20"/>
          <w:kern w:val="0"/>
          <w:sz w:val="22"/>
          <w:szCs w:val="22"/>
        </w:rPr>
        <w:t>Materials and Methods</w:t>
      </w:r>
    </w:p>
    <w:p w14:paraId="0D16A676" w14:textId="364BB9C7" w:rsidR="002C37E8" w:rsidRPr="002C37E8" w:rsidRDefault="002C37E8" w:rsidP="002C37E8">
      <w:pPr>
        <w:autoSpaceDE w:val="0"/>
        <w:autoSpaceDN w:val="0"/>
        <w:adjustRightInd w:val="0"/>
        <w:spacing w:line="360" w:lineRule="exact"/>
        <w:jc w:val="both"/>
        <w:rPr>
          <w:rFonts w:ascii="Tahoma" w:eastAsiaTheme="minorEastAsia" w:hAnsi="Tahoma" w:cs="Tahoma"/>
          <w:color w:val="231F20"/>
          <w:kern w:val="0"/>
          <w:sz w:val="22"/>
          <w:szCs w:val="22"/>
        </w:rPr>
      </w:pPr>
      <w:r w:rsidRPr="002C37E8">
        <w:rPr>
          <w:rFonts w:ascii="Tahoma" w:eastAsia="Univers" w:hAnsi="Tahoma" w:cs="Tahoma"/>
          <w:color w:val="231F20"/>
          <w:kern w:val="0"/>
          <w:sz w:val="22"/>
          <w:szCs w:val="22"/>
        </w:rPr>
        <w:t>This study identified 73 metastasis-related lncRNA candidates from comparison of paired isogenic high and low human metastatic breast cancer cell lines, and their expression levels were verified in clinical tumor samples by using The Cancer Genome Atlas. </w:t>
      </w:r>
    </w:p>
    <w:p w14:paraId="350FAB3F" w14:textId="77777777" w:rsidR="002C37E8" w:rsidRPr="002C37E8" w:rsidRDefault="002C37E8" w:rsidP="002C37E8">
      <w:pPr>
        <w:autoSpaceDE w:val="0"/>
        <w:autoSpaceDN w:val="0"/>
        <w:adjustRightInd w:val="0"/>
        <w:spacing w:line="360" w:lineRule="exact"/>
        <w:jc w:val="both"/>
        <w:rPr>
          <w:rFonts w:ascii="Tahoma" w:eastAsiaTheme="minorEastAsia" w:hAnsi="Tahoma" w:cs="Tahoma"/>
          <w:color w:val="231F20"/>
          <w:kern w:val="0"/>
          <w:sz w:val="22"/>
          <w:szCs w:val="22"/>
        </w:rPr>
      </w:pPr>
    </w:p>
    <w:p w14:paraId="26028FDD" w14:textId="77777777" w:rsidR="002C37E8" w:rsidRDefault="004410A9" w:rsidP="00AD3C94">
      <w:pPr>
        <w:spacing w:line="360" w:lineRule="atLeast"/>
        <w:jc w:val="both"/>
        <w:rPr>
          <w:rFonts w:ascii="Tahoma" w:hAnsi="Tahoma" w:cs="Tahoma"/>
          <w:b/>
          <w:sz w:val="22"/>
          <w:szCs w:val="22"/>
        </w:rPr>
      </w:pPr>
      <w:r w:rsidRPr="00AD3C94">
        <w:rPr>
          <w:rFonts w:ascii="Tahoma" w:hAnsi="Tahoma" w:cs="Tahoma"/>
          <w:b/>
          <w:sz w:val="22"/>
          <w:szCs w:val="22"/>
        </w:rPr>
        <w:t>Results</w:t>
      </w:r>
    </w:p>
    <w:p w14:paraId="15A55E19" w14:textId="2BD1ADBA" w:rsidR="004410A9" w:rsidRDefault="004410A9" w:rsidP="00AD3C94">
      <w:pPr>
        <w:spacing w:line="360" w:lineRule="atLeast"/>
        <w:jc w:val="both"/>
        <w:rPr>
          <w:rFonts w:ascii="Tahoma" w:hAnsi="Tahoma" w:cs="Tahoma"/>
          <w:sz w:val="22"/>
          <w:szCs w:val="22"/>
        </w:rPr>
      </w:pPr>
      <w:r w:rsidRPr="00AD3C94">
        <w:rPr>
          <w:rFonts w:ascii="Tahoma" w:hAnsi="Tahoma" w:cs="Tahoma"/>
          <w:sz w:val="22"/>
          <w:szCs w:val="22"/>
        </w:rPr>
        <w:t>Analysis of the TCGA database reveals that LOC100506691 is highly expressed in breast cancer. Moreover, high expression levels of LOC100506691 are significantly associated with poor prognosis in breast cancer patients. Functional assays indicate that LOC100506691 contributes to breast cancer cell growth by impairing cell cycle progression. Additionally, LOC100506691 regulates several in vitro metastatic traits such as cell migration and invasion. Using the CRISPR approach, we demonstrated that the knockout of LOC100506691 can suppress the tumor growth potential of breast cancer cells in a mouse model. Further, we showed that LOC100506691 influences breast cancer growth through the modulation of PI3K/AKT signaling activation.</w:t>
      </w:r>
    </w:p>
    <w:p w14:paraId="4E31B587" w14:textId="77777777" w:rsidR="002C37E8" w:rsidRPr="00AD3C94" w:rsidRDefault="002C37E8" w:rsidP="00AD3C94">
      <w:pPr>
        <w:spacing w:line="360" w:lineRule="atLeast"/>
        <w:jc w:val="both"/>
        <w:rPr>
          <w:rFonts w:ascii="Tahoma" w:hAnsi="Tahoma" w:cs="Tahoma"/>
          <w:b/>
          <w:sz w:val="22"/>
          <w:szCs w:val="22"/>
        </w:rPr>
      </w:pPr>
    </w:p>
    <w:p w14:paraId="5C5EDF27" w14:textId="77777777" w:rsidR="002C37E8" w:rsidRDefault="004410A9" w:rsidP="00AD3C94">
      <w:pPr>
        <w:spacing w:line="360" w:lineRule="atLeast"/>
        <w:jc w:val="both"/>
        <w:rPr>
          <w:rFonts w:ascii="Tahoma" w:hAnsi="Tahoma" w:cs="Tahoma"/>
          <w:b/>
          <w:sz w:val="22"/>
          <w:szCs w:val="22"/>
        </w:rPr>
      </w:pPr>
      <w:r w:rsidRPr="00AD3C94">
        <w:rPr>
          <w:rFonts w:ascii="Tahoma" w:hAnsi="Tahoma" w:cs="Tahoma"/>
          <w:b/>
          <w:sz w:val="22"/>
          <w:szCs w:val="22"/>
        </w:rPr>
        <w:t>Conclusion</w:t>
      </w:r>
    </w:p>
    <w:p w14:paraId="0417A706" w14:textId="26852165" w:rsidR="004410A9" w:rsidRPr="004410A9" w:rsidRDefault="004410A9" w:rsidP="00AD3C94">
      <w:pPr>
        <w:spacing w:line="360" w:lineRule="atLeast"/>
        <w:jc w:val="both"/>
        <w:rPr>
          <w:color w:val="000000"/>
        </w:rPr>
      </w:pPr>
      <w:r w:rsidRPr="00AD3C94">
        <w:rPr>
          <w:rFonts w:ascii="Tahoma" w:hAnsi="Tahoma" w:cs="Tahoma"/>
          <w:sz w:val="22"/>
          <w:szCs w:val="22"/>
        </w:rPr>
        <w:t>Our study demonstrates that LOC100506691 plays a role in breast cancer growth, highlighting its potential as a molecular biomarker for cancer diagnosis and as a therapeutic target for breast cancer.</w:t>
      </w:r>
      <w:r w:rsidRPr="004410A9">
        <w:rPr>
          <w:color w:val="000000"/>
        </w:rPr>
        <w:t xml:space="preserve"> </w:t>
      </w:r>
    </w:p>
    <w:p w14:paraId="1A6F3EAA" w14:textId="77777777" w:rsidR="00514637" w:rsidRPr="004410A9" w:rsidRDefault="00514637" w:rsidP="00514637">
      <w:pPr>
        <w:spacing w:line="360" w:lineRule="auto"/>
        <w:rPr>
          <w:b/>
        </w:rPr>
      </w:pPr>
    </w:p>
    <w:bookmarkEnd w:id="0"/>
    <w:p w14:paraId="38C3BD0D" w14:textId="77777777" w:rsidR="0040186D" w:rsidRPr="004410A9" w:rsidRDefault="0040186D" w:rsidP="004410A9">
      <w:pPr>
        <w:jc w:val="both"/>
        <w:rPr>
          <w:b/>
        </w:rPr>
      </w:pPr>
    </w:p>
    <w:sectPr w:rsidR="0040186D" w:rsidRPr="004410A9" w:rsidSect="00AD3C94">
      <w:type w:val="continuous"/>
      <w:pgSz w:w="11906" w:h="16838" w:code="9"/>
      <w:pgMar w:top="851" w:right="851" w:bottom="851" w:left="851" w:header="1021" w:footer="340" w:gutter="0"/>
      <w:lnNumType w:countBy="1" w:distance="255" w:restart="continuous"/>
      <w:cols w:space="425"/>
      <w:titlePg/>
      <w:bidi/>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細圓體">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80"/>
  <w:drawingGridHorizontalSpacing w:val="10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37"/>
    <w:rsid w:val="0004329F"/>
    <w:rsid w:val="002C37E8"/>
    <w:rsid w:val="0040186D"/>
    <w:rsid w:val="004410A9"/>
    <w:rsid w:val="00514637"/>
    <w:rsid w:val="009B7500"/>
    <w:rsid w:val="00AD3C94"/>
    <w:rsid w:val="00C63E71"/>
    <w:rsid w:val="00D16D8F"/>
    <w:rsid w:val="00D37610"/>
    <w:rsid w:val="00D8342A"/>
    <w:rsid w:val="00EB2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A656"/>
  <w15:chartTrackingRefBased/>
  <w15:docId w15:val="{75ADA6BC-742B-46BA-B08E-B1493582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6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14637"/>
  </w:style>
  <w:style w:type="paragraph" w:styleId="a4">
    <w:name w:val="Body Text"/>
    <w:basedOn w:val="a"/>
    <w:link w:val="a5"/>
    <w:rsid w:val="00514637"/>
    <w:pPr>
      <w:spacing w:line="240" w:lineRule="exact"/>
    </w:pPr>
    <w:rPr>
      <w:rFonts w:ascii="標楷體" w:eastAsia="標楷體" w:hAnsi="標楷體"/>
      <w:color w:val="333333"/>
      <w:szCs w:val="13"/>
    </w:rPr>
  </w:style>
  <w:style w:type="character" w:customStyle="1" w:styleId="a5">
    <w:name w:val="本文 字元"/>
    <w:basedOn w:val="a0"/>
    <w:link w:val="a4"/>
    <w:rsid w:val="00514637"/>
    <w:rPr>
      <w:rFonts w:ascii="標楷體" w:eastAsia="標楷體" w:hAnsi="標楷體" w:cs="Times New Roman"/>
      <w:color w:val="33333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2576</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輝 張</cp:lastModifiedBy>
  <cp:revision>4</cp:revision>
  <dcterms:created xsi:type="dcterms:W3CDTF">2024-07-16T15:18:00Z</dcterms:created>
  <dcterms:modified xsi:type="dcterms:W3CDTF">2024-07-18T10:24:00Z</dcterms:modified>
</cp:coreProperties>
</file>