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9C" w:rsidRPr="00531640" w:rsidRDefault="001E569C" w:rsidP="001E5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40">
        <w:rPr>
          <w:rFonts w:ascii="Times New Roman" w:hAnsi="Times New Roman" w:cs="Times New Roman"/>
          <w:b/>
          <w:sz w:val="28"/>
          <w:szCs w:val="28"/>
        </w:rPr>
        <w:t>Therapeutic Co-Targeting of the BTK/HER2 Axis Induces Iron Accumulation to Overcome Trastuzumab Resistance in HER2-Positive Breast Cancer</w:t>
      </w:r>
    </w:p>
    <w:p w:rsidR="00531640" w:rsidRDefault="00531640" w:rsidP="005316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1640" w:rsidRPr="00531640" w:rsidRDefault="00531640" w:rsidP="005316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proofErr w:type="spellStart"/>
      <w:r w:rsidRPr="00531640">
        <w:rPr>
          <w:rFonts w:ascii="Times New Roman" w:hAnsi="Times New Roman" w:cs="Times New Roman"/>
          <w:bCs/>
          <w:iCs/>
          <w:sz w:val="28"/>
          <w:szCs w:val="28"/>
        </w:rPr>
        <w:t>Chih</w:t>
      </w:r>
      <w:proofErr w:type="spellEnd"/>
      <w:r w:rsidRPr="00531640">
        <w:rPr>
          <w:rFonts w:ascii="Times New Roman" w:hAnsi="Times New Roman" w:cs="Times New Roman"/>
          <w:bCs/>
          <w:iCs/>
          <w:sz w:val="28"/>
          <w:szCs w:val="28"/>
        </w:rPr>
        <w:t xml:space="preserve">-Ming </w:t>
      </w:r>
      <w:proofErr w:type="spellStart"/>
      <w:r w:rsidRPr="00531640">
        <w:rPr>
          <w:rFonts w:ascii="Times New Roman" w:hAnsi="Times New Roman" w:cs="Times New Roman"/>
          <w:bCs/>
          <w:iCs/>
          <w:sz w:val="28"/>
          <w:szCs w:val="28"/>
        </w:rPr>
        <w:t>Su</w:t>
      </w:r>
      <w:proofErr w:type="spellEnd"/>
      <w:r w:rsidRPr="005316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31640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1,2</w:t>
      </w:r>
    </w:p>
    <w:p w:rsidR="00531640" w:rsidRPr="00531640" w:rsidRDefault="00531640" w:rsidP="005316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31640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1</w:t>
      </w:r>
      <w:r w:rsidRPr="00531640">
        <w:rPr>
          <w:rFonts w:ascii="Times New Roman" w:hAnsi="Times New Roman" w:cs="Times New Roman"/>
          <w:bCs/>
          <w:iCs/>
          <w:sz w:val="28"/>
          <w:szCs w:val="28"/>
        </w:rPr>
        <w:t xml:space="preserve"> Department of Surgery, School of Medicine, College of Medicine, Taipei Medical University, Taipei, Taiwan.</w:t>
      </w:r>
    </w:p>
    <w:p w:rsidR="00531640" w:rsidRPr="00531640" w:rsidRDefault="00531640" w:rsidP="005316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31640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531640">
        <w:rPr>
          <w:rFonts w:ascii="Times New Roman" w:hAnsi="Times New Roman" w:cs="Times New Roman"/>
          <w:bCs/>
          <w:iCs/>
          <w:sz w:val="28"/>
          <w:szCs w:val="28"/>
        </w:rPr>
        <w:t xml:space="preserve"> Division of General Surgery, Department of Surgery, Shuang Ho Hospital, Taipei Medical University, New Taipei, Taiwan.</w:t>
      </w:r>
    </w:p>
    <w:p w:rsidR="00531640" w:rsidRPr="00531640" w:rsidRDefault="00531640" w:rsidP="005316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31640" w:rsidRDefault="00531640" w:rsidP="0053164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1640">
        <w:rPr>
          <w:rFonts w:ascii="Times New Roman" w:hAnsi="Times New Roman" w:cs="Times New Roman"/>
          <w:b/>
          <w:iCs/>
          <w:sz w:val="28"/>
          <w:szCs w:val="28"/>
        </w:rPr>
        <w:t>Abstract</w:t>
      </w:r>
    </w:p>
    <w:p w:rsidR="00531640" w:rsidRPr="00531640" w:rsidRDefault="00531640" w:rsidP="00531640">
      <w:pPr>
        <w:jc w:val="center"/>
        <w:rPr>
          <w:rFonts w:ascii="Times New Roman" w:hAnsi="Times New Roman" w:cs="Times New Roman" w:hint="eastAsia"/>
          <w:b/>
          <w:iCs/>
          <w:sz w:val="28"/>
          <w:szCs w:val="28"/>
        </w:rPr>
      </w:pPr>
    </w:p>
    <w:p w:rsidR="001E569C" w:rsidRPr="00531640" w:rsidRDefault="001E569C" w:rsidP="00531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40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  <w:r w:rsidR="00147367" w:rsidRPr="00531640">
        <w:rPr>
          <w:rFonts w:ascii="Times New Roman" w:hAnsi="Times New Roman" w:cs="Times New Roman"/>
          <w:sz w:val="28"/>
          <w:szCs w:val="28"/>
        </w:rPr>
        <w:t xml:space="preserve">Trastuzumab is a leading treatment for HER2-positive breast cancer, but many patients develop resistance and experience disease recurrence. Bruton's tyrosine kinase (BTK) plays a crucial role in the B-cell antigen receptor (BCR) signaling pathway and is emerging as a promising target for cancer therapy.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may irreversibly inhibit BTK, which negatively affects Nrf2 translocation to the nucleus. We hypothesize that by inhibiting BTK,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prevents Nrf2 from translocating to the nucleus and activating Nrf2-dependent antioxidant genes under oxidative stress. This mechanism ultimately enhances the sensitivity of HER2+ breast cancer cells to ferroptosis. </w:t>
      </w:r>
      <w:r w:rsidRPr="00531640">
        <w:rPr>
          <w:rFonts w:ascii="Times New Roman" w:hAnsi="Times New Roman" w:cs="Times New Roman"/>
          <w:b/>
          <w:sz w:val="28"/>
          <w:szCs w:val="28"/>
        </w:rPr>
        <w:t>Materials and Methods:</w:t>
      </w:r>
      <w:r w:rsidR="00147367" w:rsidRPr="00531640">
        <w:rPr>
          <w:rFonts w:ascii="Times New Roman" w:hAnsi="Times New Roman" w:cs="Times New Roman"/>
          <w:sz w:val="28"/>
          <w:szCs w:val="28"/>
        </w:rPr>
        <w:t xml:space="preserve"> </w:t>
      </w:r>
      <w:r w:rsidRPr="00531640">
        <w:rPr>
          <w:rFonts w:ascii="Times New Roman" w:hAnsi="Times New Roman" w:cs="Times New Roman"/>
          <w:sz w:val="28"/>
          <w:szCs w:val="28"/>
        </w:rPr>
        <w:t xml:space="preserve">Expression profiles of BTK in publicly available breast cancer samples were analyzed. The role of the phenotype of trastuzumab-resistant breast cancer cells (SKBR3-IR and BT474-IT) was assessed using wound healing, Matrigel invasion, and growth inhibition assays. In addition, immunohistochemistry analysis was used to confirm the effects of </w:t>
      </w:r>
      <w:proofErr w:type="spellStart"/>
      <w:r w:rsidRPr="00531640">
        <w:rPr>
          <w:rFonts w:ascii="Times New Roman" w:hAnsi="Times New Roman" w:cs="Times New Roman"/>
          <w:sz w:val="28"/>
          <w:szCs w:val="28"/>
        </w:rPr>
        <w:t>shBTK</w:t>
      </w:r>
      <w:proofErr w:type="spellEnd"/>
      <w:r w:rsidRPr="005316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Pr="00531640">
        <w:rPr>
          <w:rFonts w:ascii="Times New Roman" w:hAnsi="Times New Roman" w:cs="Times New Roman"/>
          <w:sz w:val="28"/>
          <w:szCs w:val="28"/>
        </w:rPr>
        <w:t>, and trastuzumab on therapy</w:t>
      </w:r>
      <w:r w:rsidR="00147367" w:rsidRPr="00531640">
        <w:rPr>
          <w:rFonts w:ascii="Times New Roman" w:hAnsi="Times New Roman" w:cs="Times New Roman"/>
          <w:sz w:val="28"/>
          <w:szCs w:val="28"/>
        </w:rPr>
        <w:t xml:space="preserve">-resistant breast cancer cells. </w:t>
      </w:r>
      <w:r w:rsidRPr="00531640">
        <w:rPr>
          <w:rFonts w:ascii="Times New Roman" w:hAnsi="Times New Roman" w:cs="Times New Roman"/>
          <w:b/>
          <w:sz w:val="28"/>
          <w:szCs w:val="28"/>
        </w:rPr>
        <w:t xml:space="preserve">Results: </w:t>
      </w:r>
      <w:r w:rsidR="00147367" w:rsidRPr="00531640">
        <w:rPr>
          <w:rFonts w:ascii="Times New Roman" w:hAnsi="Times New Roman" w:cs="Times New Roman"/>
          <w:sz w:val="28"/>
          <w:szCs w:val="28"/>
        </w:rPr>
        <w:t xml:space="preserve">We demonstrated that BTK was aberrantly expressed in HER2+ breast cancer cells and patients’ samples. HER2 overexpression was associated with therapy resistance. When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shBTK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was successfully transfected in trastuzumab-resistant cells, the major EMT markers associated with therapy resistance and immune checkpoint were downregulated, and tumor migration and invasion abilities of the cells were inhibited.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enhances the efficacy of trastuzumab in trastuzumab-resistant HER2+ breast cancer cells. This combination induces apoptosis and ferroptosis, marked by ROS accumulation, extensive lipid peroxidation, and depletion of both oxidized and reduced glutathione. </w:t>
      </w:r>
      <w:r w:rsidR="00147367" w:rsidRPr="00531640">
        <w:rPr>
          <w:rFonts w:ascii="Times New Roman" w:hAnsi="Times New Roman" w:cs="Times New Roman"/>
          <w:sz w:val="28"/>
          <w:szCs w:val="28"/>
        </w:rPr>
        <w:lastRenderedPageBreak/>
        <w:t xml:space="preserve">Compared with single-agent treatment, the combined use of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and trastuzumab had significant tumor suppression effects on trastuzumab-resistant cells in vivo. </w:t>
      </w:r>
      <w:r w:rsidRPr="00531640">
        <w:rPr>
          <w:rFonts w:ascii="Times New Roman" w:hAnsi="Times New Roman" w:cs="Times New Roman"/>
          <w:b/>
          <w:sz w:val="28"/>
          <w:szCs w:val="28"/>
        </w:rPr>
        <w:t xml:space="preserve">Conclusion: </w:t>
      </w:r>
      <w:r w:rsidR="00147367" w:rsidRPr="00531640">
        <w:rPr>
          <w:rFonts w:ascii="Times New Roman" w:hAnsi="Times New Roman" w:cs="Times New Roman"/>
          <w:sz w:val="28"/>
          <w:szCs w:val="28"/>
        </w:rPr>
        <w:t xml:space="preserve">The results demonstrated that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effectively inhibited the therapy-resistant phenotype of trastuzumab-resistant HER2+ breast cancer cells by disrupting the BTK/HER2+ signaling.  Mechanistically, disrupting BTK and HER2 triggers ferroptosis by downregulating NRF2 and HMOX1 while inactivating GPX4. In vivo, the combination of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and trastuzumab significantly inhibits tumor growth. Our findings demonstrate that </w:t>
      </w:r>
      <w:proofErr w:type="spellStart"/>
      <w:r w:rsidR="00147367" w:rsidRPr="00531640">
        <w:rPr>
          <w:rFonts w:ascii="Times New Roman" w:hAnsi="Times New Roman" w:cs="Times New Roman"/>
          <w:sz w:val="28"/>
          <w:szCs w:val="28"/>
        </w:rPr>
        <w:t>acalabrutinib</w:t>
      </w:r>
      <w:proofErr w:type="spellEnd"/>
      <w:r w:rsidR="00147367" w:rsidRPr="00531640">
        <w:rPr>
          <w:rFonts w:ascii="Times New Roman" w:hAnsi="Times New Roman" w:cs="Times New Roman"/>
          <w:sz w:val="28"/>
          <w:szCs w:val="28"/>
        </w:rPr>
        <w:t xml:space="preserve"> and trastuzumab synergistically inhibit HER2+ breast cancer cells by inducing both apoptosis and ferroptosis.</w:t>
      </w:r>
    </w:p>
    <w:p w:rsidR="00531640" w:rsidRDefault="00531640" w:rsidP="001E569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69C" w:rsidRPr="00531640" w:rsidRDefault="001E569C" w:rsidP="001E56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640">
        <w:rPr>
          <w:rFonts w:ascii="Times New Roman" w:hAnsi="Times New Roman" w:cs="Times New Roman"/>
          <w:b/>
          <w:bCs/>
          <w:i/>
          <w:sz w:val="28"/>
          <w:szCs w:val="28"/>
        </w:rPr>
        <w:t>Keywords</w:t>
      </w:r>
      <w:r w:rsidRPr="00531640">
        <w:rPr>
          <w:rFonts w:ascii="Times New Roman" w:hAnsi="Times New Roman" w:cs="Times New Roman"/>
          <w:iCs/>
          <w:sz w:val="28"/>
          <w:szCs w:val="28"/>
        </w:rPr>
        <w:t>:</w:t>
      </w:r>
      <w:r w:rsidR="00147367" w:rsidRPr="00531640">
        <w:rPr>
          <w:rFonts w:ascii="Times New Roman" w:hAnsi="Times New Roman" w:cs="Times New Roman"/>
          <w:iCs/>
          <w:sz w:val="28"/>
          <w:szCs w:val="28"/>
        </w:rPr>
        <w:t xml:space="preserve"> Iron Accumulation</w:t>
      </w:r>
      <w:r w:rsidRPr="00531640">
        <w:rPr>
          <w:rFonts w:ascii="Times New Roman" w:hAnsi="Times New Roman" w:cs="Times New Roman"/>
          <w:iCs/>
          <w:sz w:val="28"/>
          <w:szCs w:val="28"/>
        </w:rPr>
        <w:t xml:space="preserve">; HER2+; </w:t>
      </w:r>
      <w:proofErr w:type="spellStart"/>
      <w:r w:rsidRPr="00531640">
        <w:rPr>
          <w:rFonts w:ascii="Times New Roman" w:hAnsi="Times New Roman" w:cs="Times New Roman"/>
          <w:iCs/>
          <w:sz w:val="28"/>
          <w:szCs w:val="28"/>
        </w:rPr>
        <w:t>acalabrutinib</w:t>
      </w:r>
      <w:proofErr w:type="spellEnd"/>
      <w:r w:rsidRPr="00531640">
        <w:rPr>
          <w:rFonts w:ascii="Times New Roman" w:hAnsi="Times New Roman" w:cs="Times New Roman"/>
          <w:iCs/>
          <w:sz w:val="28"/>
          <w:szCs w:val="28"/>
        </w:rPr>
        <w:t>; therapy-resistance; breast cancer cells</w:t>
      </w:r>
      <w:r w:rsidR="00147367" w:rsidRPr="00531640">
        <w:rPr>
          <w:rFonts w:ascii="Times New Roman" w:hAnsi="Times New Roman" w:cs="Times New Roman" w:hint="eastAsia"/>
          <w:iCs/>
          <w:sz w:val="28"/>
          <w:szCs w:val="28"/>
        </w:rPr>
        <w:t>；</w:t>
      </w:r>
      <w:r w:rsidR="00147367" w:rsidRPr="00531640">
        <w:rPr>
          <w:rFonts w:ascii="Times New Roman" w:hAnsi="Times New Roman" w:cs="Times New Roman" w:hint="eastAsia"/>
          <w:iCs/>
          <w:sz w:val="28"/>
          <w:szCs w:val="28"/>
        </w:rPr>
        <w:t>F</w:t>
      </w:r>
      <w:r w:rsidR="00147367" w:rsidRPr="00531640">
        <w:rPr>
          <w:rFonts w:ascii="Times New Roman" w:hAnsi="Times New Roman" w:cs="Times New Roman"/>
          <w:iCs/>
          <w:sz w:val="28"/>
          <w:szCs w:val="28"/>
        </w:rPr>
        <w:t>erroptosis</w:t>
      </w:r>
    </w:p>
    <w:sectPr w:rsidR="001E569C" w:rsidRPr="00531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9C"/>
    <w:rsid w:val="00147367"/>
    <w:rsid w:val="001E569C"/>
    <w:rsid w:val="00531640"/>
    <w:rsid w:val="007D667D"/>
    <w:rsid w:val="00A4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F150"/>
  <w15:chartTrackingRefBased/>
  <w15:docId w15:val="{B50465F1-C3F3-4B9D-9F22-0D304E9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明慧 蘇</cp:lastModifiedBy>
  <cp:revision>3</cp:revision>
  <dcterms:created xsi:type="dcterms:W3CDTF">2024-06-23T06:03:00Z</dcterms:created>
  <dcterms:modified xsi:type="dcterms:W3CDTF">2024-07-23T11:33:00Z</dcterms:modified>
</cp:coreProperties>
</file>